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REPUBLIKA HRVATSKA</w:t>
      </w:r>
    </w:p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ZADARSKA ŽUPANIJA</w:t>
      </w:r>
    </w:p>
    <w:p w:rsidR="00FA2DCD" w:rsidRPr="0050574B" w:rsidRDefault="00FA2DCD" w:rsidP="00FA2DCD">
      <w:pPr>
        <w:pStyle w:val="Bezproreda"/>
        <w:rPr>
          <w:b/>
        </w:rPr>
      </w:pPr>
      <w:r w:rsidRPr="0050574B">
        <w:rPr>
          <w:b/>
        </w:rPr>
        <w:t>OPĆINA PREKO</w:t>
      </w:r>
    </w:p>
    <w:p w:rsidR="00FA2DCD" w:rsidRDefault="00FA2DCD" w:rsidP="00FA2DCD">
      <w:pPr>
        <w:pStyle w:val="Bezproreda"/>
      </w:pPr>
    </w:p>
    <w:p w:rsidR="00FA2DCD" w:rsidRDefault="00FA2DCD" w:rsidP="00FA2DCD">
      <w:pPr>
        <w:pStyle w:val="Bezproreda"/>
      </w:pPr>
      <w:r>
        <w:t>K</w:t>
      </w:r>
      <w:r w:rsidR="00BD0399">
        <w:t>LASA:</w:t>
      </w:r>
      <w:r>
        <w:t xml:space="preserve"> 400-0</w:t>
      </w:r>
      <w:r w:rsidR="003F0DEF">
        <w:t>5</w:t>
      </w:r>
      <w:r>
        <w:t>/2</w:t>
      </w:r>
      <w:r w:rsidR="00B2678C">
        <w:t>5</w:t>
      </w:r>
      <w:r>
        <w:t>-01/</w:t>
      </w:r>
      <w:r w:rsidR="003F0DEF">
        <w:t>01</w:t>
      </w:r>
    </w:p>
    <w:p w:rsidR="00FA2DCD" w:rsidRDefault="00FA2DCD" w:rsidP="00FA2DCD">
      <w:pPr>
        <w:pStyle w:val="Bezproreda"/>
      </w:pPr>
      <w:r>
        <w:t>URBROJ: 2198</w:t>
      </w:r>
      <w:r w:rsidR="00BD0399">
        <w:t>-</w:t>
      </w:r>
      <w:r w:rsidR="008A75BE">
        <w:t>1</w:t>
      </w:r>
      <w:r>
        <w:t>3-</w:t>
      </w:r>
      <w:r w:rsidR="008A75BE">
        <w:t>0</w:t>
      </w:r>
      <w:r>
        <w:t>2</w:t>
      </w:r>
      <w:r w:rsidR="00BD0399">
        <w:t>-</w:t>
      </w:r>
      <w:r>
        <w:t>1-2</w:t>
      </w:r>
      <w:r w:rsidR="00B2678C">
        <w:t>5</w:t>
      </w:r>
      <w:r>
        <w:t>-1</w:t>
      </w:r>
    </w:p>
    <w:p w:rsidR="00FA2DCD" w:rsidRDefault="00FA2DCD" w:rsidP="00FA2DCD">
      <w:pPr>
        <w:pStyle w:val="Bezproreda"/>
      </w:pPr>
      <w:r>
        <w:t xml:space="preserve">Preko, </w:t>
      </w:r>
      <w:r w:rsidR="00B2678C">
        <w:t>2</w:t>
      </w:r>
      <w:r w:rsidR="005A253A">
        <w:t>4.02.202</w:t>
      </w:r>
      <w:r w:rsidR="00B2678C">
        <w:t>5</w:t>
      </w:r>
      <w:r w:rsidR="005A253A">
        <w:t>.</w:t>
      </w:r>
    </w:p>
    <w:p w:rsidR="00FA2DCD" w:rsidRDefault="00FA2DCD" w:rsidP="00FA2DCD">
      <w:pPr>
        <w:pStyle w:val="Bezproreda"/>
      </w:pPr>
    </w:p>
    <w:p w:rsidR="00FA2DCD" w:rsidRPr="00FA2DCD" w:rsidRDefault="00FA2DCD" w:rsidP="00FA2DCD">
      <w:pPr>
        <w:pStyle w:val="Bezproreda"/>
        <w:jc w:val="center"/>
        <w:rPr>
          <w:b/>
        </w:rPr>
      </w:pPr>
      <w:r w:rsidRPr="00FA2DCD">
        <w:rPr>
          <w:b/>
        </w:rPr>
        <w:t>BILJEŠKE UZ FINANCIJSKA IZVJEŠĆA</w:t>
      </w:r>
    </w:p>
    <w:p w:rsidR="00FA2DCD" w:rsidRDefault="00FA2DCD" w:rsidP="00FA2DCD">
      <w:pPr>
        <w:pStyle w:val="Bezproreda"/>
        <w:jc w:val="center"/>
        <w:rPr>
          <w:b/>
        </w:rPr>
      </w:pPr>
      <w:r w:rsidRPr="00FA2DCD">
        <w:rPr>
          <w:b/>
        </w:rPr>
        <w:t>za ra</w:t>
      </w:r>
      <w:r w:rsidR="00730719">
        <w:rPr>
          <w:b/>
        </w:rPr>
        <w:t>zdoblje od 1. siječnja do 3</w:t>
      </w:r>
      <w:r w:rsidR="00CA3745">
        <w:rPr>
          <w:b/>
        </w:rPr>
        <w:t>1</w:t>
      </w:r>
      <w:r w:rsidR="00730719">
        <w:rPr>
          <w:b/>
        </w:rPr>
        <w:t xml:space="preserve">. </w:t>
      </w:r>
      <w:r w:rsidR="00C14A98">
        <w:rPr>
          <w:b/>
        </w:rPr>
        <w:t>prosinca</w:t>
      </w:r>
      <w:r w:rsidRPr="00FA2DCD">
        <w:rPr>
          <w:b/>
        </w:rPr>
        <w:t xml:space="preserve"> 202</w:t>
      </w:r>
      <w:r w:rsidR="00B2678C">
        <w:rPr>
          <w:b/>
        </w:rPr>
        <w:t>4</w:t>
      </w:r>
      <w:r w:rsidRPr="00FA2DCD">
        <w:rPr>
          <w:b/>
        </w:rPr>
        <w:t>. godine</w:t>
      </w:r>
    </w:p>
    <w:p w:rsidR="00FA2DCD" w:rsidRDefault="00FA2DCD" w:rsidP="00694F5A">
      <w:pPr>
        <w:pStyle w:val="Bezproreda"/>
        <w:rPr>
          <w:b/>
        </w:rPr>
      </w:pPr>
    </w:p>
    <w:p w:rsidR="00FA2DCD" w:rsidRDefault="00FA2DCD" w:rsidP="00FA2DCD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OPĆI PODACI O PRORAČUNU</w:t>
      </w: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923DD7" w:rsidRDefault="00FA2DCD" w:rsidP="00FA2DCD">
      <w:pPr>
        <w:pStyle w:val="Bezproreda"/>
        <w:ind w:left="360"/>
      </w:pPr>
      <w:r w:rsidRPr="00923DD7">
        <w:t>RKP broj:</w:t>
      </w:r>
      <w:r w:rsidRPr="00923DD7">
        <w:tab/>
      </w:r>
      <w:r w:rsidRPr="00923DD7">
        <w:tab/>
      </w:r>
      <w:r w:rsidRPr="00923DD7">
        <w:tab/>
        <w:t>35079</w:t>
      </w:r>
    </w:p>
    <w:p w:rsidR="00FA2DCD" w:rsidRPr="00923DD7" w:rsidRDefault="00FA2DCD" w:rsidP="00FA2DCD">
      <w:pPr>
        <w:pStyle w:val="Bezproreda"/>
        <w:ind w:left="360"/>
      </w:pPr>
      <w:r w:rsidRPr="00923DD7">
        <w:t xml:space="preserve">NAZIV OBVEZNIKA: </w:t>
      </w:r>
      <w:r w:rsidRPr="00923DD7">
        <w:tab/>
      </w:r>
      <w:r w:rsidR="00923DD7">
        <w:tab/>
      </w:r>
      <w:r w:rsidRPr="00923DD7">
        <w:t>OPĆINA PREKO</w:t>
      </w:r>
    </w:p>
    <w:p w:rsidR="00FA2DCD" w:rsidRPr="00923DD7" w:rsidRDefault="00FA2DCD" w:rsidP="00FA2DCD">
      <w:pPr>
        <w:pStyle w:val="Bezproreda"/>
        <w:ind w:left="360"/>
      </w:pPr>
      <w:r w:rsidRPr="00923DD7">
        <w:t>ADRESA SJEDIŠTA:</w:t>
      </w:r>
      <w:r w:rsidRPr="00923DD7">
        <w:tab/>
      </w:r>
      <w:r w:rsidRPr="00923DD7">
        <w:tab/>
        <w:t>Trg hrvatske nezavisnosti 2, PREKO 23273</w:t>
      </w:r>
    </w:p>
    <w:p w:rsidR="00FA2DCD" w:rsidRPr="00923DD7" w:rsidRDefault="00FA2DCD" w:rsidP="00FA2DCD">
      <w:pPr>
        <w:pStyle w:val="Bezproreda"/>
        <w:ind w:left="360"/>
      </w:pPr>
      <w:r w:rsidRPr="00923DD7">
        <w:t>ŠIFRA OPĆINE:</w:t>
      </w:r>
      <w:r w:rsidRPr="00923DD7">
        <w:tab/>
      </w:r>
      <w:r w:rsidRPr="00923DD7">
        <w:tab/>
        <w:t>354</w:t>
      </w:r>
    </w:p>
    <w:p w:rsidR="00FA2DCD" w:rsidRPr="00923DD7" w:rsidRDefault="00FA2DCD" w:rsidP="00FA2DCD">
      <w:pPr>
        <w:pStyle w:val="Bezproreda"/>
        <w:ind w:left="360"/>
      </w:pPr>
      <w:r w:rsidRPr="00923DD7">
        <w:t>MATIČNI BROJ:</w:t>
      </w:r>
      <w:r w:rsidRPr="00923DD7">
        <w:tab/>
      </w:r>
      <w:r w:rsidRPr="00923DD7">
        <w:tab/>
        <w:t>02544296</w:t>
      </w:r>
    </w:p>
    <w:p w:rsidR="00FA2DCD" w:rsidRPr="00923DD7" w:rsidRDefault="00FA2DCD" w:rsidP="00FA2DCD">
      <w:pPr>
        <w:pStyle w:val="Bezproreda"/>
        <w:ind w:left="360"/>
      </w:pPr>
      <w:r w:rsidRPr="00923DD7">
        <w:t>OIB:</w:t>
      </w:r>
      <w:r w:rsidRPr="00923DD7">
        <w:tab/>
      </w:r>
      <w:r w:rsidRPr="00923DD7">
        <w:tab/>
      </w:r>
      <w:r w:rsidRPr="00923DD7">
        <w:tab/>
        <w:t>13458425443</w:t>
      </w:r>
    </w:p>
    <w:p w:rsidR="00FA2DCD" w:rsidRPr="00923DD7" w:rsidRDefault="00FA2DCD" w:rsidP="00FA2DCD">
      <w:pPr>
        <w:pStyle w:val="Bezproreda"/>
        <w:ind w:left="360"/>
      </w:pPr>
      <w:r w:rsidRPr="00923DD7">
        <w:t>RAZINA:</w:t>
      </w:r>
      <w:r w:rsidRPr="00923DD7">
        <w:tab/>
      </w:r>
      <w:r w:rsidRPr="00923DD7">
        <w:tab/>
      </w:r>
      <w:r w:rsidRPr="00923DD7">
        <w:tab/>
        <w:t>22</w:t>
      </w:r>
    </w:p>
    <w:p w:rsidR="00FA2DCD" w:rsidRPr="00923DD7" w:rsidRDefault="00FA2DCD" w:rsidP="00FA2DCD">
      <w:pPr>
        <w:pStyle w:val="Bezproreda"/>
        <w:ind w:left="360"/>
      </w:pPr>
      <w:r w:rsidRPr="00923DD7">
        <w:t>RAZDJEL:</w:t>
      </w:r>
      <w:r w:rsidRPr="00923DD7">
        <w:tab/>
      </w:r>
      <w:r w:rsidRPr="00923DD7">
        <w:tab/>
      </w:r>
      <w:r w:rsidRPr="00923DD7">
        <w:tab/>
        <w:t>000</w:t>
      </w:r>
    </w:p>
    <w:p w:rsidR="00FA2DCD" w:rsidRPr="00923DD7" w:rsidRDefault="00FA2DCD" w:rsidP="00FA2DCD">
      <w:pPr>
        <w:pStyle w:val="Bezproreda"/>
        <w:ind w:left="360"/>
      </w:pPr>
      <w:r w:rsidRPr="00923DD7">
        <w:t>ŠIFRA DJELATNOSTI:</w:t>
      </w:r>
      <w:r w:rsidRPr="00923DD7">
        <w:tab/>
        <w:t>8411</w:t>
      </w:r>
    </w:p>
    <w:p w:rsidR="00FA2DCD" w:rsidRDefault="00FA2DCD" w:rsidP="00FA2DCD">
      <w:pPr>
        <w:pStyle w:val="Bezproreda"/>
        <w:ind w:left="360"/>
      </w:pPr>
      <w:r w:rsidRPr="00923DD7">
        <w:t>OZNAKA RAZDOBLJA:</w:t>
      </w:r>
      <w:r w:rsidRPr="00923DD7">
        <w:tab/>
        <w:t>202</w:t>
      </w:r>
      <w:r w:rsidR="000D2051">
        <w:t>4</w:t>
      </w:r>
      <w:r w:rsidRPr="00923DD7">
        <w:t>-</w:t>
      </w:r>
      <w:r w:rsidR="00CA3745">
        <w:t>12</w:t>
      </w:r>
    </w:p>
    <w:p w:rsidR="00FA2DCD" w:rsidRDefault="00FA2DCD" w:rsidP="00AF6E52">
      <w:pPr>
        <w:pStyle w:val="Bezproreda"/>
        <w:rPr>
          <w:b/>
        </w:rPr>
      </w:pPr>
    </w:p>
    <w:p w:rsidR="00FA2DCD" w:rsidRDefault="00923DD7" w:rsidP="00FA2DCD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SADRŽAJ I STRUKTURA FINANCIJSKIH IZVJEŠTAJA</w:t>
      </w:r>
    </w:p>
    <w:p w:rsidR="00923DD7" w:rsidRDefault="00923DD7" w:rsidP="00923DD7">
      <w:pPr>
        <w:pStyle w:val="Bezproreda"/>
        <w:ind w:left="360"/>
        <w:rPr>
          <w:b/>
        </w:rPr>
      </w:pPr>
    </w:p>
    <w:p w:rsidR="00923DD7" w:rsidRDefault="00923DD7" w:rsidP="000839C7">
      <w:pPr>
        <w:pStyle w:val="Bezproreda"/>
        <w:spacing w:line="276" w:lineRule="auto"/>
        <w:ind w:left="360"/>
        <w:jc w:val="both"/>
      </w:pPr>
      <w:r w:rsidRPr="00923DD7">
        <w:t xml:space="preserve">Općina Preko kao jedinica lokalne i područne (regionalne) samouprave, obveznik je predavanja financijskih izvještaja prema članku </w:t>
      </w:r>
      <w:r>
        <w:t>8</w:t>
      </w:r>
      <w:r w:rsidRPr="00923DD7">
        <w:t>.</w:t>
      </w:r>
      <w:r>
        <w:t xml:space="preserve"> st. 4.</w:t>
      </w:r>
      <w:r w:rsidRPr="00923DD7">
        <w:t xml:space="preserve"> Pravilnika o financijskom izvještavanju u proračunskom računovodstvu</w:t>
      </w:r>
      <w:r>
        <w:t xml:space="preserve">, </w:t>
      </w:r>
      <w:r w:rsidR="00846E95">
        <w:t>N</w:t>
      </w:r>
      <w:r w:rsidRPr="00923DD7">
        <w:t>arodne novine</w:t>
      </w:r>
      <w:r w:rsidR="00846E95">
        <w:t>,</w:t>
      </w:r>
      <w:r w:rsidRPr="00923DD7">
        <w:t xml:space="preserve"> broj 37/2022</w:t>
      </w:r>
      <w:r>
        <w:t xml:space="preserve">; </w:t>
      </w:r>
      <w:r w:rsidR="00846E95">
        <w:t>(</w:t>
      </w:r>
      <w:r>
        <w:t>u daljnjem tekstu: Pravilnik)</w:t>
      </w:r>
      <w:r w:rsidRPr="00923DD7">
        <w:t>)</w:t>
      </w:r>
      <w:r>
        <w:t>, a za razdoblje od 1. siječnja 202</w:t>
      </w:r>
      <w:r w:rsidR="00B2678C">
        <w:t>4</w:t>
      </w:r>
      <w:r>
        <w:t xml:space="preserve">. do </w:t>
      </w:r>
      <w:r w:rsidR="00C14A98">
        <w:t>31. prosinca</w:t>
      </w:r>
      <w:r>
        <w:t xml:space="preserve"> 202</w:t>
      </w:r>
      <w:r w:rsidR="00B2678C">
        <w:t>4</w:t>
      </w:r>
      <w:r>
        <w:t>. godine</w:t>
      </w:r>
      <w:r w:rsidRPr="00923DD7">
        <w:t xml:space="preserve"> i to:</w:t>
      </w:r>
    </w:p>
    <w:p w:rsidR="00923DD7" w:rsidRDefault="00923DD7" w:rsidP="000839C7">
      <w:pPr>
        <w:pStyle w:val="Bezproreda"/>
        <w:spacing w:line="276" w:lineRule="auto"/>
        <w:ind w:left="360"/>
        <w:jc w:val="both"/>
      </w:pPr>
    </w:p>
    <w:p w:rsidR="00923DD7" w:rsidRDefault="00923DD7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PR-RAS:</w:t>
      </w:r>
      <w:r>
        <w:tab/>
      </w:r>
      <w:r w:rsidR="00C14A98">
        <w:tab/>
      </w:r>
      <w:r>
        <w:t>Izvještaj o prihodima i rashodima, primicima i izdacima</w:t>
      </w:r>
    </w:p>
    <w:p w:rsidR="00C14A98" w:rsidRDefault="00C14A98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BILANCA</w:t>
      </w:r>
      <w:r>
        <w:tab/>
      </w:r>
      <w:r>
        <w:tab/>
        <w:t>Bilanca</w:t>
      </w:r>
    </w:p>
    <w:p w:rsidR="00C14A98" w:rsidRDefault="00C14A98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RAS – funkcijski</w:t>
      </w:r>
      <w:r>
        <w:tab/>
        <w:t>Izvještaj o rashodima prema funkcijskoj klasifikaciji</w:t>
      </w:r>
    </w:p>
    <w:p w:rsidR="00C14A98" w:rsidRDefault="00C14A98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P – VRIO</w:t>
      </w:r>
      <w:r>
        <w:tab/>
      </w:r>
      <w:r>
        <w:tab/>
        <w:t>Izvještaj o promjenama u vrijednosti i obujmu imovine i obveza</w:t>
      </w:r>
    </w:p>
    <w:p w:rsidR="00923DD7" w:rsidRDefault="00923DD7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>Obrazac OBVEZE:</w:t>
      </w:r>
      <w:r>
        <w:tab/>
      </w:r>
      <w:r w:rsidR="00C14A98">
        <w:tab/>
      </w:r>
      <w:r>
        <w:t>Izvještaj o obvezama</w:t>
      </w:r>
    </w:p>
    <w:p w:rsidR="00923DD7" w:rsidRDefault="00923DD7" w:rsidP="000839C7">
      <w:pPr>
        <w:pStyle w:val="Bezproreda"/>
        <w:numPr>
          <w:ilvl w:val="0"/>
          <w:numId w:val="2"/>
        </w:numPr>
        <w:spacing w:line="276" w:lineRule="auto"/>
        <w:jc w:val="both"/>
      </w:pPr>
      <w:r>
        <w:t xml:space="preserve">Bilješke za razdoblje od </w:t>
      </w:r>
      <w:r w:rsidR="000E5AFA">
        <w:t>1</w:t>
      </w:r>
      <w:r>
        <w:t xml:space="preserve">. siječnja </w:t>
      </w:r>
      <w:r w:rsidR="000E5AFA">
        <w:t>202</w:t>
      </w:r>
      <w:r w:rsidR="00B2678C">
        <w:t>4</w:t>
      </w:r>
      <w:r w:rsidR="000E5AFA">
        <w:t xml:space="preserve">. </w:t>
      </w:r>
      <w:r>
        <w:t>do 3</w:t>
      </w:r>
      <w:r w:rsidR="00C14A98">
        <w:t>1</w:t>
      </w:r>
      <w:r>
        <w:t xml:space="preserve">. </w:t>
      </w:r>
      <w:r w:rsidR="00C14A98">
        <w:t>prosinca</w:t>
      </w:r>
      <w:r>
        <w:t xml:space="preserve"> 202</w:t>
      </w:r>
      <w:r w:rsidR="00B2678C">
        <w:t>4</w:t>
      </w:r>
      <w:r>
        <w:t>. godine</w:t>
      </w:r>
    </w:p>
    <w:p w:rsidR="00923DD7" w:rsidRDefault="00923DD7" w:rsidP="000839C7">
      <w:pPr>
        <w:pStyle w:val="Bezproreda"/>
        <w:spacing w:line="276" w:lineRule="auto"/>
        <w:ind w:left="360"/>
        <w:jc w:val="both"/>
      </w:pPr>
    </w:p>
    <w:p w:rsidR="00846E95" w:rsidRDefault="00923DD7" w:rsidP="000839C7">
      <w:pPr>
        <w:pStyle w:val="Bezproreda"/>
        <w:spacing w:line="276" w:lineRule="auto"/>
        <w:ind w:left="360"/>
        <w:jc w:val="both"/>
      </w:pPr>
      <w:r>
        <w:t>Bilješke uz financijske izvještaje prema članku 14. Pravilnika st. 1., dopuna su poda</w:t>
      </w:r>
      <w:r w:rsidR="00AF6E52">
        <w:t>taka uz financijske izvještaje.</w:t>
      </w:r>
    </w:p>
    <w:p w:rsidR="00923DD7" w:rsidRDefault="00846E95" w:rsidP="000839C7">
      <w:pPr>
        <w:pStyle w:val="Bezproreda"/>
        <w:spacing w:line="276" w:lineRule="auto"/>
        <w:ind w:left="360"/>
        <w:jc w:val="both"/>
      </w:pPr>
      <w:r>
        <w:t>Financijski izvještaji za razdoblje od 1. siječnja do 3</w:t>
      </w:r>
      <w:r w:rsidR="00C14A98">
        <w:t>1</w:t>
      </w:r>
      <w:r>
        <w:t xml:space="preserve">. </w:t>
      </w:r>
      <w:r w:rsidR="00C14A98">
        <w:t>prosinca</w:t>
      </w:r>
      <w:r>
        <w:t xml:space="preserve"> 202</w:t>
      </w:r>
      <w:r w:rsidR="00C068ED">
        <w:t>4</w:t>
      </w:r>
      <w:r>
        <w:t>. godine, sastavljeni su prema Okružnici o sastavljanju</w:t>
      </w:r>
      <w:r w:rsidR="00C14A98">
        <w:t>, konsolidaciji</w:t>
      </w:r>
      <w:r>
        <w:t xml:space="preserve"> i predaji financijskih izvještaja proračuna, proračunskih i izvanp</w:t>
      </w:r>
      <w:r w:rsidR="00730719">
        <w:t xml:space="preserve">roračunskih korisnika državnog </w:t>
      </w:r>
      <w:r>
        <w:t>proračuna te proračunskih i izvanproračunskih korisnika proračuna jedinica lokalne i područne (regionalne) samouprave za razdoblje od 1. siječnja do 3</w:t>
      </w:r>
      <w:r w:rsidR="00C14A98">
        <w:t>1</w:t>
      </w:r>
      <w:r>
        <w:t xml:space="preserve">. </w:t>
      </w:r>
      <w:r w:rsidR="00C14A98">
        <w:t>prosinca</w:t>
      </w:r>
      <w:r>
        <w:t xml:space="preserve"> 202</w:t>
      </w:r>
      <w:r w:rsidR="00C068ED">
        <w:t>4</w:t>
      </w:r>
      <w:r>
        <w:t>.</w:t>
      </w:r>
      <w:r w:rsidR="00730719">
        <w:t>,</w:t>
      </w:r>
      <w:r w:rsidR="005B76E9">
        <w:t xml:space="preserve"> upućenu </w:t>
      </w:r>
      <w:r w:rsidR="00FF43ED">
        <w:t>1</w:t>
      </w:r>
      <w:r w:rsidR="00C068ED">
        <w:t>4</w:t>
      </w:r>
      <w:r w:rsidR="00FF43ED">
        <w:t>. siječnja 202</w:t>
      </w:r>
      <w:r w:rsidR="00C068ED">
        <w:t>5</w:t>
      </w:r>
      <w:r w:rsidR="00FF43ED">
        <w:t xml:space="preserve">. godine </w:t>
      </w:r>
      <w:r w:rsidR="005B76E9">
        <w:t>od s</w:t>
      </w:r>
      <w:r w:rsidR="00C14A98">
        <w:t>trane Ministarstva financija RH.</w:t>
      </w:r>
    </w:p>
    <w:p w:rsidR="00EB5DD9" w:rsidRDefault="00730719" w:rsidP="00C15DDA">
      <w:pPr>
        <w:pStyle w:val="Bezproreda"/>
        <w:spacing w:line="276" w:lineRule="auto"/>
        <w:ind w:left="360"/>
        <w:jc w:val="both"/>
      </w:pPr>
      <w:r>
        <w:t>Prema Okružnici, rok za predaju financijskih izvještaja za jedinice lokalne i područne (regionalne) samouprave za razdoblje od 1. siječnja do 3</w:t>
      </w:r>
      <w:r w:rsidR="00C14A98">
        <w:t>1</w:t>
      </w:r>
      <w:r>
        <w:t xml:space="preserve">. </w:t>
      </w:r>
      <w:r w:rsidR="00C14A98">
        <w:t>prosinca</w:t>
      </w:r>
      <w:r>
        <w:t xml:space="preserve"> 202</w:t>
      </w:r>
      <w:r w:rsidR="00C068ED">
        <w:t>4</w:t>
      </w:r>
      <w:r>
        <w:t>. godine je 1</w:t>
      </w:r>
      <w:r w:rsidR="00C068ED">
        <w:t>7</w:t>
      </w:r>
      <w:r>
        <w:t xml:space="preserve">. </w:t>
      </w:r>
      <w:r w:rsidR="00C14A98">
        <w:t>veljače</w:t>
      </w:r>
      <w:r>
        <w:t xml:space="preserve"> 202</w:t>
      </w:r>
      <w:r w:rsidR="00C068ED">
        <w:t>5</w:t>
      </w:r>
      <w:r>
        <w:t xml:space="preserve">. </w:t>
      </w:r>
      <w:r w:rsidR="0000205D">
        <w:t>godine.</w:t>
      </w:r>
    </w:p>
    <w:p w:rsidR="00E85549" w:rsidRDefault="00E85549" w:rsidP="00E85549">
      <w:pPr>
        <w:pStyle w:val="Bezproreda"/>
        <w:spacing w:line="276" w:lineRule="auto"/>
        <w:ind w:left="360"/>
        <w:jc w:val="both"/>
      </w:pPr>
      <w:r>
        <w:lastRenderedPageBreak/>
        <w:t>Ministarstvo financija RH je dopisom od 10. veljače 2025. godine (Klasa: 400-02/24-01/18) na traženje Općine Preko odobrilo produženje roka za predaju financijskih izvještaja za razdoblje od 1. siječnja do 31. prosinca 2024. godine razine 22 do 24. veljače 2025. godine.</w:t>
      </w:r>
    </w:p>
    <w:p w:rsidR="00E85549" w:rsidRDefault="00E85549" w:rsidP="00E85549">
      <w:pPr>
        <w:pStyle w:val="Bezproreda"/>
        <w:spacing w:line="276" w:lineRule="auto"/>
        <w:ind w:left="360"/>
        <w:jc w:val="both"/>
      </w:pPr>
    </w:p>
    <w:p w:rsidR="0064234E" w:rsidRDefault="0064234E" w:rsidP="00E85549">
      <w:pPr>
        <w:pStyle w:val="Bezproreda"/>
        <w:spacing w:line="276" w:lineRule="auto"/>
        <w:ind w:left="360"/>
        <w:jc w:val="both"/>
        <w:rPr>
          <w:b/>
        </w:rPr>
      </w:pPr>
      <w:r w:rsidRPr="00445840">
        <w:rPr>
          <w:b/>
        </w:rPr>
        <w:t xml:space="preserve">BILJEŠKE UZ </w:t>
      </w:r>
      <w:r w:rsidR="00C371D7">
        <w:rPr>
          <w:b/>
        </w:rPr>
        <w:t xml:space="preserve">OBRAZAC PR-RAS – </w:t>
      </w:r>
      <w:r w:rsidRPr="00445840">
        <w:rPr>
          <w:b/>
        </w:rPr>
        <w:t>IZVJEŠTAJ O PRIHODIMA I RASHODIMA, PRIMICIMA I IZDACIMA</w:t>
      </w:r>
    </w:p>
    <w:p w:rsidR="009817F3" w:rsidRDefault="009817F3" w:rsidP="009817F3">
      <w:pPr>
        <w:pStyle w:val="Bezproreda"/>
        <w:ind w:left="360"/>
        <w:jc w:val="both"/>
        <w:rPr>
          <w:b/>
        </w:rPr>
      </w:pPr>
    </w:p>
    <w:p w:rsidR="009817F3" w:rsidRDefault="009817F3" w:rsidP="009817F3">
      <w:pPr>
        <w:pStyle w:val="Bezproreda"/>
        <w:ind w:left="360"/>
        <w:jc w:val="both"/>
        <w:rPr>
          <w:b/>
        </w:rPr>
      </w:pPr>
      <w:r>
        <w:rPr>
          <w:b/>
        </w:rPr>
        <w:t>PRIHODI I PRIMICI</w:t>
      </w:r>
    </w:p>
    <w:p w:rsidR="0064234E" w:rsidRDefault="0064234E" w:rsidP="009817F3">
      <w:pPr>
        <w:pStyle w:val="Bezproreda"/>
        <w:jc w:val="both"/>
      </w:pPr>
    </w:p>
    <w:p w:rsidR="00B66ACB" w:rsidRDefault="00007880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881706">
        <w:rPr>
          <w:rFonts w:ascii="Calibri" w:hAnsi="Calibri" w:cs="Calibri"/>
          <w:b/>
          <w:sz w:val="22"/>
          <w:szCs w:val="22"/>
        </w:rPr>
        <w:t>PRIHODI POSLOVANJA (ŠIFRA 6)</w:t>
      </w:r>
      <w:r w:rsidR="0064234E" w:rsidRPr="00881706">
        <w:rPr>
          <w:rFonts w:ascii="Calibri" w:hAnsi="Calibri" w:cs="Calibri"/>
          <w:b/>
          <w:sz w:val="22"/>
          <w:szCs w:val="22"/>
        </w:rPr>
        <w:t xml:space="preserve"> </w:t>
      </w:r>
      <w:r w:rsidR="0064234E" w:rsidRPr="00D74998">
        <w:rPr>
          <w:rFonts w:ascii="Calibri" w:hAnsi="Calibri" w:cs="Calibri"/>
          <w:sz w:val="22"/>
          <w:szCs w:val="22"/>
        </w:rPr>
        <w:t xml:space="preserve">– </w:t>
      </w:r>
      <w:r w:rsidR="00D74998">
        <w:rPr>
          <w:rFonts w:ascii="Calibri" w:hAnsi="Calibri" w:cs="Calibri"/>
          <w:sz w:val="22"/>
          <w:szCs w:val="22"/>
        </w:rPr>
        <w:t>u razdoblju I-</w:t>
      </w:r>
      <w:r w:rsidR="00C128BA">
        <w:rPr>
          <w:rFonts w:ascii="Calibri" w:hAnsi="Calibri" w:cs="Calibri"/>
          <w:sz w:val="22"/>
          <w:szCs w:val="22"/>
        </w:rPr>
        <w:t>XII</w:t>
      </w:r>
      <w:r w:rsidR="00D74998">
        <w:rPr>
          <w:rFonts w:ascii="Calibri" w:hAnsi="Calibri" w:cs="Calibri"/>
          <w:sz w:val="22"/>
          <w:szCs w:val="22"/>
        </w:rPr>
        <w:t>/202</w:t>
      </w:r>
      <w:r w:rsidR="00E85549">
        <w:rPr>
          <w:rFonts w:ascii="Calibri" w:hAnsi="Calibri" w:cs="Calibri"/>
          <w:sz w:val="22"/>
          <w:szCs w:val="22"/>
        </w:rPr>
        <w:t>4</w:t>
      </w:r>
      <w:r w:rsidR="00D74998">
        <w:rPr>
          <w:rFonts w:ascii="Calibri" w:hAnsi="Calibri" w:cs="Calibri"/>
          <w:sz w:val="22"/>
          <w:szCs w:val="22"/>
        </w:rPr>
        <w:t xml:space="preserve"> </w:t>
      </w:r>
      <w:r w:rsidR="00D74998" w:rsidRPr="00D74998">
        <w:rPr>
          <w:rFonts w:ascii="Calibri" w:hAnsi="Calibri" w:cs="Calibri"/>
          <w:sz w:val="22"/>
          <w:szCs w:val="22"/>
        </w:rPr>
        <w:t>ostvareni su u</w:t>
      </w:r>
      <w:r w:rsidR="00D74998">
        <w:rPr>
          <w:rFonts w:ascii="Calibri" w:hAnsi="Calibri" w:cs="Calibri"/>
          <w:b/>
          <w:sz w:val="22"/>
          <w:szCs w:val="22"/>
        </w:rPr>
        <w:t xml:space="preserve"> </w:t>
      </w:r>
      <w:r w:rsidR="00D74998">
        <w:rPr>
          <w:rFonts w:ascii="Calibri" w:hAnsi="Calibri" w:cs="Calibri"/>
          <w:sz w:val="22"/>
          <w:szCs w:val="22"/>
        </w:rPr>
        <w:t xml:space="preserve">iznosu od </w:t>
      </w:r>
      <w:r w:rsidR="00E85549" w:rsidRPr="00AB68E3">
        <w:rPr>
          <w:rFonts w:ascii="Calibri" w:hAnsi="Calibri" w:cs="Calibri"/>
          <w:b/>
          <w:sz w:val="22"/>
          <w:szCs w:val="22"/>
        </w:rPr>
        <w:t>4.896.089,47</w:t>
      </w:r>
      <w:r w:rsidR="00D74998" w:rsidRPr="00AB68E3">
        <w:rPr>
          <w:rFonts w:ascii="Calibri" w:hAnsi="Calibri" w:cs="Calibri"/>
          <w:sz w:val="22"/>
          <w:szCs w:val="22"/>
        </w:rPr>
        <w:t xml:space="preserve"> </w:t>
      </w:r>
      <w:r w:rsidR="00EB5DD9" w:rsidRPr="00AB68E3">
        <w:rPr>
          <w:rFonts w:ascii="Calibri" w:hAnsi="Calibri" w:cs="Calibri"/>
          <w:b/>
          <w:sz w:val="22"/>
          <w:szCs w:val="22"/>
        </w:rPr>
        <w:t>eura</w:t>
      </w:r>
      <w:r w:rsidR="00C128BA" w:rsidRPr="00AB68E3">
        <w:rPr>
          <w:rFonts w:ascii="Calibri" w:hAnsi="Calibri" w:cs="Calibri"/>
          <w:b/>
          <w:sz w:val="22"/>
          <w:szCs w:val="22"/>
        </w:rPr>
        <w:t>,</w:t>
      </w:r>
      <w:r w:rsidR="00D74998">
        <w:rPr>
          <w:rFonts w:ascii="Calibri" w:hAnsi="Calibri" w:cs="Calibri"/>
          <w:sz w:val="22"/>
          <w:szCs w:val="22"/>
        </w:rPr>
        <w:t xml:space="preserve"> što </w:t>
      </w:r>
      <w:r w:rsidR="0005116B">
        <w:rPr>
          <w:rFonts w:ascii="Calibri" w:hAnsi="Calibri" w:cs="Calibri"/>
          <w:sz w:val="22"/>
          <w:szCs w:val="22"/>
        </w:rPr>
        <w:t>predstavlja ostvarenj</w:t>
      </w:r>
      <w:r w:rsidR="00592A6D">
        <w:rPr>
          <w:rFonts w:ascii="Calibri" w:hAnsi="Calibri" w:cs="Calibri"/>
          <w:sz w:val="22"/>
          <w:szCs w:val="22"/>
        </w:rPr>
        <w:t>e</w:t>
      </w:r>
      <w:r w:rsidR="0005116B">
        <w:rPr>
          <w:rFonts w:ascii="Calibri" w:hAnsi="Calibri" w:cs="Calibri"/>
          <w:sz w:val="22"/>
          <w:szCs w:val="22"/>
        </w:rPr>
        <w:t xml:space="preserve"> od </w:t>
      </w:r>
      <w:r w:rsidR="002A18C0">
        <w:rPr>
          <w:rFonts w:ascii="Calibri" w:hAnsi="Calibri" w:cs="Calibri"/>
          <w:sz w:val="22"/>
          <w:szCs w:val="22"/>
        </w:rPr>
        <w:t>102,5</w:t>
      </w:r>
      <w:r w:rsidR="00D74998">
        <w:rPr>
          <w:rFonts w:ascii="Calibri" w:hAnsi="Calibri" w:cs="Calibri"/>
          <w:sz w:val="22"/>
          <w:szCs w:val="22"/>
        </w:rPr>
        <w:t>% planiranih prihoda poslovanja za 202</w:t>
      </w:r>
      <w:r w:rsidR="002A18C0">
        <w:rPr>
          <w:rFonts w:ascii="Calibri" w:hAnsi="Calibri" w:cs="Calibri"/>
          <w:sz w:val="22"/>
          <w:szCs w:val="22"/>
        </w:rPr>
        <w:t>4</w:t>
      </w:r>
      <w:r w:rsidR="00D74998">
        <w:rPr>
          <w:rFonts w:ascii="Calibri" w:hAnsi="Calibri" w:cs="Calibri"/>
          <w:sz w:val="22"/>
          <w:szCs w:val="22"/>
        </w:rPr>
        <w:t>. godinu</w:t>
      </w:r>
      <w:r w:rsidR="0005116B">
        <w:rPr>
          <w:rFonts w:ascii="Calibri" w:hAnsi="Calibri" w:cs="Calibri"/>
          <w:sz w:val="22"/>
          <w:szCs w:val="22"/>
        </w:rPr>
        <w:t>, a u odnosu na isto izvještajno razdoblje 202</w:t>
      </w:r>
      <w:r w:rsidR="002A18C0">
        <w:rPr>
          <w:rFonts w:ascii="Calibri" w:hAnsi="Calibri" w:cs="Calibri"/>
          <w:sz w:val="22"/>
          <w:szCs w:val="22"/>
        </w:rPr>
        <w:t>3</w:t>
      </w:r>
      <w:r w:rsidR="00527904">
        <w:rPr>
          <w:rFonts w:ascii="Calibri" w:hAnsi="Calibri" w:cs="Calibri"/>
          <w:sz w:val="22"/>
          <w:szCs w:val="22"/>
        </w:rPr>
        <w:t>. godine</w:t>
      </w:r>
      <w:r w:rsidR="0005116B">
        <w:rPr>
          <w:rFonts w:ascii="Calibri" w:hAnsi="Calibri" w:cs="Calibri"/>
          <w:sz w:val="22"/>
          <w:szCs w:val="22"/>
        </w:rPr>
        <w:t xml:space="preserve"> povećanje od </w:t>
      </w:r>
      <w:r w:rsidR="002A18C0">
        <w:rPr>
          <w:rFonts w:ascii="Calibri" w:hAnsi="Calibri" w:cs="Calibri"/>
          <w:sz w:val="22"/>
          <w:szCs w:val="22"/>
        </w:rPr>
        <w:t>11,7</w:t>
      </w:r>
      <w:r w:rsidR="0005116B">
        <w:rPr>
          <w:rFonts w:ascii="Calibri" w:hAnsi="Calibri" w:cs="Calibri"/>
          <w:sz w:val="22"/>
          <w:szCs w:val="22"/>
        </w:rPr>
        <w:t>%.</w:t>
      </w:r>
    </w:p>
    <w:p w:rsidR="00DA262E" w:rsidRDefault="00742224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DB49BC">
        <w:rPr>
          <w:rFonts w:ascii="Calibri" w:hAnsi="Calibri" w:cs="Calibri"/>
          <w:b/>
          <w:color w:val="0000FF"/>
          <w:sz w:val="22"/>
          <w:szCs w:val="22"/>
        </w:rPr>
        <w:t>PRIHODI OD POREZA (š</w:t>
      </w:r>
      <w:r w:rsidR="00DA262E" w:rsidRPr="00DB49BC">
        <w:rPr>
          <w:rFonts w:ascii="Calibri" w:hAnsi="Calibri" w:cs="Calibri"/>
          <w:b/>
          <w:color w:val="0000FF"/>
          <w:sz w:val="22"/>
          <w:szCs w:val="22"/>
        </w:rPr>
        <w:t xml:space="preserve">ifra 61) </w:t>
      </w:r>
      <w:r w:rsidR="00DA262E">
        <w:rPr>
          <w:rFonts w:ascii="Calibri" w:hAnsi="Calibri" w:cs="Calibri"/>
          <w:sz w:val="22"/>
          <w:szCs w:val="22"/>
        </w:rPr>
        <w:t xml:space="preserve">– u izvještajnom razdoblju su ostvareni u iznosu od </w:t>
      </w:r>
      <w:r w:rsidR="002A18C0" w:rsidRPr="00AB68E3">
        <w:rPr>
          <w:rFonts w:ascii="Calibri" w:hAnsi="Calibri" w:cs="Calibri"/>
          <w:sz w:val="22"/>
          <w:szCs w:val="22"/>
        </w:rPr>
        <w:t>2.910.</w:t>
      </w:r>
      <w:r w:rsidR="00640877" w:rsidRPr="00AB68E3">
        <w:rPr>
          <w:rFonts w:ascii="Calibri" w:hAnsi="Calibri" w:cs="Calibri"/>
          <w:sz w:val="22"/>
          <w:szCs w:val="22"/>
        </w:rPr>
        <w:t>775,95</w:t>
      </w:r>
      <w:r w:rsidR="00881706" w:rsidRPr="00AB68E3">
        <w:rPr>
          <w:rFonts w:ascii="Calibri" w:hAnsi="Calibri" w:cs="Calibri"/>
          <w:sz w:val="22"/>
          <w:szCs w:val="22"/>
        </w:rPr>
        <w:t xml:space="preserve"> </w:t>
      </w:r>
      <w:r w:rsidR="00527904" w:rsidRPr="00AB68E3">
        <w:rPr>
          <w:rFonts w:ascii="Calibri" w:hAnsi="Calibri" w:cs="Calibri"/>
          <w:sz w:val="22"/>
          <w:szCs w:val="22"/>
        </w:rPr>
        <w:t>eura</w:t>
      </w:r>
      <w:r w:rsidR="00881706" w:rsidRPr="00AB68E3">
        <w:rPr>
          <w:rFonts w:ascii="Calibri" w:hAnsi="Calibri" w:cs="Calibri"/>
          <w:sz w:val="22"/>
          <w:szCs w:val="22"/>
        </w:rPr>
        <w:t xml:space="preserve"> što predstavlja ostvarenje u iznosu od </w:t>
      </w:r>
      <w:r w:rsidR="002A18C0" w:rsidRPr="00AB68E3">
        <w:rPr>
          <w:rFonts w:ascii="Calibri" w:hAnsi="Calibri" w:cs="Calibri"/>
          <w:sz w:val="22"/>
          <w:szCs w:val="22"/>
        </w:rPr>
        <w:t>112,1</w:t>
      </w:r>
      <w:r w:rsidR="00881706" w:rsidRPr="00AB68E3">
        <w:rPr>
          <w:rFonts w:ascii="Calibri" w:hAnsi="Calibri" w:cs="Calibri"/>
          <w:sz w:val="22"/>
          <w:szCs w:val="22"/>
        </w:rPr>
        <w:t>% u odnosu na planirano i povećanje</w:t>
      </w:r>
      <w:r w:rsidR="00881706">
        <w:rPr>
          <w:rFonts w:ascii="Calibri" w:hAnsi="Calibri" w:cs="Calibri"/>
          <w:sz w:val="22"/>
          <w:szCs w:val="22"/>
        </w:rPr>
        <w:t xml:space="preserve"> od </w:t>
      </w:r>
      <w:r w:rsidR="002A18C0">
        <w:rPr>
          <w:rFonts w:ascii="Calibri" w:hAnsi="Calibri" w:cs="Calibri"/>
          <w:sz w:val="22"/>
          <w:szCs w:val="22"/>
        </w:rPr>
        <w:t>18,7</w:t>
      </w:r>
      <w:r w:rsidR="00881706">
        <w:rPr>
          <w:rFonts w:ascii="Calibri" w:hAnsi="Calibri" w:cs="Calibri"/>
          <w:sz w:val="22"/>
          <w:szCs w:val="22"/>
        </w:rPr>
        <w:t>% u odnosu na isto izvještajno razdoblje 202</w:t>
      </w:r>
      <w:r w:rsidR="002A18C0">
        <w:rPr>
          <w:rFonts w:ascii="Calibri" w:hAnsi="Calibri" w:cs="Calibri"/>
          <w:sz w:val="22"/>
          <w:szCs w:val="22"/>
        </w:rPr>
        <w:t>3</w:t>
      </w:r>
      <w:r w:rsidR="00881706">
        <w:rPr>
          <w:rFonts w:ascii="Calibri" w:hAnsi="Calibri" w:cs="Calibri"/>
          <w:sz w:val="22"/>
          <w:szCs w:val="22"/>
        </w:rPr>
        <w:t>. godine.</w:t>
      </w:r>
    </w:p>
    <w:p w:rsidR="000839C7" w:rsidRPr="000839C7" w:rsidRDefault="000839C7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0839C7">
        <w:rPr>
          <w:rFonts w:ascii="Calibri" w:hAnsi="Calibri" w:cs="Calibri"/>
          <w:b/>
          <w:i/>
          <w:sz w:val="22"/>
          <w:szCs w:val="22"/>
        </w:rPr>
        <w:t xml:space="preserve">Prihodi od poreza na </w:t>
      </w:r>
      <w:r>
        <w:rPr>
          <w:rFonts w:ascii="Calibri" w:hAnsi="Calibri" w:cs="Calibri"/>
          <w:b/>
          <w:i/>
          <w:sz w:val="22"/>
          <w:szCs w:val="22"/>
        </w:rPr>
        <w:t>nepokretnu imovinu – kuće za odmor (šifra 6131)</w:t>
      </w:r>
      <w:r>
        <w:rPr>
          <w:rFonts w:ascii="Calibri" w:hAnsi="Calibri" w:cs="Calibri"/>
          <w:sz w:val="22"/>
          <w:szCs w:val="22"/>
        </w:rPr>
        <w:t xml:space="preserve"> – ostvareni su u iznosu od </w:t>
      </w:r>
      <w:r w:rsidR="002A18C0">
        <w:rPr>
          <w:rFonts w:ascii="Calibri" w:hAnsi="Calibri" w:cs="Calibri"/>
          <w:sz w:val="22"/>
          <w:szCs w:val="22"/>
        </w:rPr>
        <w:t>460.840,64</w:t>
      </w:r>
      <w:r>
        <w:rPr>
          <w:rFonts w:ascii="Calibri" w:hAnsi="Calibri" w:cs="Calibri"/>
          <w:sz w:val="22"/>
          <w:szCs w:val="22"/>
        </w:rPr>
        <w:t xml:space="preserve"> eura što predstavlja ostvarenje od </w:t>
      </w:r>
      <w:r w:rsidR="002A18C0">
        <w:rPr>
          <w:rFonts w:ascii="Calibri" w:hAnsi="Calibri" w:cs="Calibri"/>
          <w:sz w:val="22"/>
          <w:szCs w:val="22"/>
        </w:rPr>
        <w:t>97,3</w:t>
      </w:r>
      <w:r>
        <w:rPr>
          <w:rFonts w:ascii="Calibri" w:hAnsi="Calibri" w:cs="Calibri"/>
          <w:sz w:val="22"/>
          <w:szCs w:val="22"/>
        </w:rPr>
        <w:t xml:space="preserve">% u odnosu na planirano i povećanje od </w:t>
      </w:r>
      <w:r w:rsidR="00EB687D">
        <w:rPr>
          <w:rFonts w:ascii="Calibri" w:hAnsi="Calibri" w:cs="Calibri"/>
          <w:sz w:val="22"/>
          <w:szCs w:val="22"/>
        </w:rPr>
        <w:t>156,1</w:t>
      </w:r>
      <w:r>
        <w:rPr>
          <w:rFonts w:ascii="Calibri" w:hAnsi="Calibri" w:cs="Calibri"/>
          <w:sz w:val="22"/>
          <w:szCs w:val="22"/>
        </w:rPr>
        <w:t>% u odnosu na isto izvještajno razdoblje 202</w:t>
      </w:r>
      <w:r w:rsidR="00EB687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 iz ra</w:t>
      </w:r>
      <w:r w:rsidR="00EB687D">
        <w:rPr>
          <w:rFonts w:ascii="Calibri" w:hAnsi="Calibri" w:cs="Calibri"/>
          <w:sz w:val="22"/>
          <w:szCs w:val="22"/>
        </w:rPr>
        <w:t>zloga povećanja broja obveznika i visine porezne stope sa 3% na 5% po m².</w:t>
      </w:r>
    </w:p>
    <w:p w:rsidR="00DA262E" w:rsidRDefault="00B66ACB" w:rsidP="00310122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</w:t>
      </w:r>
      <w:r w:rsidR="0005116B" w:rsidRPr="00CB59E4">
        <w:rPr>
          <w:rFonts w:ascii="Calibri" w:hAnsi="Calibri" w:cs="Calibri"/>
          <w:b/>
          <w:i/>
          <w:sz w:val="22"/>
          <w:szCs w:val="22"/>
        </w:rPr>
        <w:t>rihodi od</w:t>
      </w:r>
      <w:r w:rsidR="0005116B">
        <w:rPr>
          <w:rFonts w:ascii="Calibri" w:hAnsi="Calibri" w:cs="Calibri"/>
          <w:sz w:val="22"/>
          <w:szCs w:val="22"/>
        </w:rPr>
        <w:t xml:space="preserve"> </w:t>
      </w:r>
      <w:r w:rsidR="0005116B" w:rsidRPr="00CB59E4">
        <w:rPr>
          <w:rFonts w:ascii="Calibri" w:hAnsi="Calibri" w:cs="Calibri"/>
          <w:b/>
          <w:i/>
          <w:sz w:val="22"/>
          <w:szCs w:val="22"/>
        </w:rPr>
        <w:t>poreza na promet nekretninama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66ACB">
        <w:rPr>
          <w:rFonts w:ascii="Calibri" w:hAnsi="Calibri" w:cs="Calibri"/>
          <w:b/>
          <w:i/>
          <w:sz w:val="22"/>
          <w:szCs w:val="22"/>
        </w:rPr>
        <w:t>(šifra</w:t>
      </w:r>
      <w:r w:rsidR="0005116B" w:rsidRPr="00B66ACB">
        <w:rPr>
          <w:rFonts w:ascii="Calibri" w:hAnsi="Calibri" w:cs="Calibri"/>
          <w:b/>
          <w:sz w:val="22"/>
          <w:szCs w:val="22"/>
        </w:rPr>
        <w:t xml:space="preserve"> </w:t>
      </w:r>
      <w:r w:rsidRPr="00B66ACB">
        <w:rPr>
          <w:rFonts w:ascii="Calibri" w:hAnsi="Calibri" w:cs="Calibri"/>
          <w:b/>
          <w:sz w:val="22"/>
          <w:szCs w:val="22"/>
        </w:rPr>
        <w:t xml:space="preserve"> 6134) </w:t>
      </w:r>
      <w:r>
        <w:rPr>
          <w:rFonts w:ascii="Calibri" w:hAnsi="Calibri" w:cs="Calibri"/>
          <w:sz w:val="22"/>
          <w:szCs w:val="22"/>
        </w:rPr>
        <w:t xml:space="preserve">– </w:t>
      </w:r>
      <w:r w:rsidR="0005116B">
        <w:rPr>
          <w:rFonts w:ascii="Calibri" w:hAnsi="Calibri" w:cs="Calibri"/>
          <w:sz w:val="22"/>
          <w:szCs w:val="22"/>
        </w:rPr>
        <w:t xml:space="preserve">ostvareni </w:t>
      </w:r>
      <w:r w:rsidR="00592A6D">
        <w:rPr>
          <w:rFonts w:ascii="Calibri" w:hAnsi="Calibri" w:cs="Calibri"/>
          <w:sz w:val="22"/>
          <w:szCs w:val="22"/>
        </w:rPr>
        <w:t xml:space="preserve">su </w:t>
      </w:r>
      <w:r w:rsidR="0005116B">
        <w:rPr>
          <w:rFonts w:ascii="Calibri" w:hAnsi="Calibri" w:cs="Calibri"/>
          <w:sz w:val="22"/>
          <w:szCs w:val="22"/>
        </w:rPr>
        <w:t xml:space="preserve">u iznosu od </w:t>
      </w:r>
      <w:r w:rsidR="00EB687D">
        <w:rPr>
          <w:rFonts w:ascii="Calibri" w:hAnsi="Calibri" w:cs="Calibri"/>
          <w:sz w:val="22"/>
          <w:szCs w:val="22"/>
        </w:rPr>
        <w:t>618.301,77</w:t>
      </w:r>
      <w:r w:rsidR="000839C7">
        <w:rPr>
          <w:rFonts w:ascii="Calibri" w:hAnsi="Calibri" w:cs="Calibri"/>
          <w:sz w:val="22"/>
          <w:szCs w:val="22"/>
        </w:rPr>
        <w:t xml:space="preserve"> eura</w:t>
      </w:r>
      <w:r w:rsidR="0005116B">
        <w:rPr>
          <w:rFonts w:ascii="Calibri" w:hAnsi="Calibri" w:cs="Calibri"/>
          <w:sz w:val="22"/>
          <w:szCs w:val="22"/>
        </w:rPr>
        <w:t xml:space="preserve"> što predstavlja </w:t>
      </w:r>
      <w:r w:rsidR="00DA262E">
        <w:rPr>
          <w:rFonts w:ascii="Calibri" w:hAnsi="Calibri" w:cs="Calibri"/>
          <w:sz w:val="22"/>
          <w:szCs w:val="22"/>
        </w:rPr>
        <w:t>ostvarenje</w:t>
      </w:r>
      <w:r w:rsidR="0005116B">
        <w:rPr>
          <w:rFonts w:ascii="Calibri" w:hAnsi="Calibri" w:cs="Calibri"/>
          <w:sz w:val="22"/>
          <w:szCs w:val="22"/>
        </w:rPr>
        <w:t xml:space="preserve"> u odnosu na plan od </w:t>
      </w:r>
      <w:r w:rsidR="00EB687D">
        <w:rPr>
          <w:rFonts w:ascii="Calibri" w:hAnsi="Calibri" w:cs="Calibri"/>
          <w:sz w:val="22"/>
          <w:szCs w:val="22"/>
        </w:rPr>
        <w:t>98,1</w:t>
      </w:r>
      <w:r w:rsidR="0005116B">
        <w:rPr>
          <w:rFonts w:ascii="Calibri" w:hAnsi="Calibri" w:cs="Calibri"/>
          <w:sz w:val="22"/>
          <w:szCs w:val="22"/>
        </w:rPr>
        <w:t>%, a u odnosu na isto izvještajno razdoblje 202</w:t>
      </w:r>
      <w:r w:rsidR="00EB687D">
        <w:rPr>
          <w:rFonts w:ascii="Calibri" w:hAnsi="Calibri" w:cs="Calibri"/>
          <w:sz w:val="22"/>
          <w:szCs w:val="22"/>
        </w:rPr>
        <w:t>3</w:t>
      </w:r>
      <w:r w:rsidR="0005116B">
        <w:rPr>
          <w:rFonts w:ascii="Calibri" w:hAnsi="Calibri" w:cs="Calibri"/>
          <w:sz w:val="22"/>
          <w:szCs w:val="22"/>
        </w:rPr>
        <w:t>. godine</w:t>
      </w:r>
      <w:r w:rsidR="000839C7">
        <w:rPr>
          <w:rFonts w:ascii="Calibri" w:hAnsi="Calibri" w:cs="Calibri"/>
          <w:sz w:val="22"/>
          <w:szCs w:val="22"/>
        </w:rPr>
        <w:t xml:space="preserve"> smanjenje</w:t>
      </w:r>
      <w:r w:rsidR="0005116B">
        <w:rPr>
          <w:rFonts w:ascii="Calibri" w:hAnsi="Calibri" w:cs="Calibri"/>
          <w:sz w:val="22"/>
          <w:szCs w:val="22"/>
        </w:rPr>
        <w:t xml:space="preserve"> od </w:t>
      </w:r>
      <w:r w:rsidR="00EB687D">
        <w:rPr>
          <w:rFonts w:ascii="Calibri" w:hAnsi="Calibri" w:cs="Calibri"/>
          <w:sz w:val="22"/>
          <w:szCs w:val="22"/>
        </w:rPr>
        <w:t>23</w:t>
      </w:r>
      <w:r w:rsidR="0005116B">
        <w:rPr>
          <w:rFonts w:ascii="Calibri" w:hAnsi="Calibri" w:cs="Calibri"/>
          <w:sz w:val="22"/>
          <w:szCs w:val="22"/>
        </w:rPr>
        <w:t>%</w:t>
      </w:r>
      <w:r w:rsidR="000839C7">
        <w:rPr>
          <w:rFonts w:ascii="Calibri" w:hAnsi="Calibri" w:cs="Calibri"/>
          <w:sz w:val="22"/>
          <w:szCs w:val="22"/>
        </w:rPr>
        <w:t xml:space="preserve"> </w:t>
      </w:r>
      <w:r w:rsidR="000839C7" w:rsidRPr="000839C7">
        <w:rPr>
          <w:rFonts w:ascii="Calibri" w:hAnsi="Calibri" w:cs="Calibri"/>
          <w:sz w:val="22"/>
          <w:szCs w:val="22"/>
        </w:rPr>
        <w:t xml:space="preserve">što je u skladu sa predviđanjima za 2024. godinu </w:t>
      </w:r>
      <w:r w:rsidR="000839C7" w:rsidRPr="000839C7">
        <w:rPr>
          <w:rFonts w:asciiTheme="minorHAnsi" w:hAnsiTheme="minorHAnsi" w:cstheme="minorHAnsi"/>
          <w:sz w:val="22"/>
          <w:szCs w:val="22"/>
        </w:rPr>
        <w:t xml:space="preserve">radi </w:t>
      </w:r>
      <w:r w:rsidR="000839C7" w:rsidRPr="000839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korekcije cijena na niže i </w:t>
      </w:r>
      <w:r w:rsidR="000839C7" w:rsidRPr="000839C7">
        <w:rPr>
          <w:rFonts w:asciiTheme="minorHAnsi" w:hAnsiTheme="minorHAnsi" w:cstheme="minorHAnsi"/>
          <w:sz w:val="22"/>
          <w:szCs w:val="22"/>
        </w:rPr>
        <w:t>porasta kamatnih stopa kao instrumenta u obuzdavanju inflatornih učinaka</w:t>
      </w:r>
      <w:r w:rsidR="0000205D">
        <w:rPr>
          <w:rFonts w:asciiTheme="minorHAnsi" w:hAnsiTheme="minorHAnsi" w:cstheme="minorHAnsi"/>
          <w:sz w:val="22"/>
          <w:szCs w:val="22"/>
        </w:rPr>
        <w:t>.</w:t>
      </w:r>
      <w:r w:rsidR="0005116B">
        <w:rPr>
          <w:rFonts w:ascii="Calibri" w:hAnsi="Calibri" w:cs="Calibri"/>
          <w:sz w:val="22"/>
          <w:szCs w:val="22"/>
        </w:rPr>
        <w:t xml:space="preserve"> </w:t>
      </w:r>
    </w:p>
    <w:p w:rsidR="00481ED0" w:rsidRDefault="00481ED0" w:rsidP="00FC69E1">
      <w:pPr>
        <w:pStyle w:val="Tijeloteksta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DB49BC">
        <w:rPr>
          <w:rFonts w:ascii="Calibri" w:hAnsi="Calibri" w:cs="Calibri"/>
          <w:b/>
          <w:i/>
          <w:color w:val="0000FF"/>
          <w:sz w:val="22"/>
          <w:szCs w:val="22"/>
        </w:rPr>
        <w:t xml:space="preserve">POMOĆI IZ INOZEMSTVA I OD SUBJEKATA UNUTAR OPĆEG PRORAČUNA (šifra 63) </w:t>
      </w:r>
      <w:r>
        <w:rPr>
          <w:rFonts w:ascii="Calibri" w:hAnsi="Calibri" w:cs="Calibri"/>
          <w:sz w:val="22"/>
          <w:szCs w:val="22"/>
        </w:rPr>
        <w:t xml:space="preserve">– u izvještajnom razdoblju su ostvarene u iznosu od </w:t>
      </w:r>
      <w:r w:rsidR="00925DEA" w:rsidRPr="00AB68E3">
        <w:rPr>
          <w:rFonts w:ascii="Calibri" w:hAnsi="Calibri" w:cs="Calibri"/>
          <w:sz w:val="22"/>
          <w:szCs w:val="22"/>
        </w:rPr>
        <w:t>729.664,61</w:t>
      </w:r>
      <w:r w:rsidR="0000205D" w:rsidRPr="00AB68E3">
        <w:rPr>
          <w:rFonts w:ascii="Calibri" w:hAnsi="Calibri" w:cs="Calibri"/>
          <w:sz w:val="22"/>
          <w:szCs w:val="22"/>
        </w:rPr>
        <w:t xml:space="preserve"> eura</w:t>
      </w:r>
      <w:r>
        <w:rPr>
          <w:rFonts w:ascii="Calibri" w:hAnsi="Calibri" w:cs="Calibri"/>
          <w:sz w:val="22"/>
          <w:szCs w:val="22"/>
        </w:rPr>
        <w:t xml:space="preserve"> što predstavlja ostvarenje u iznosu od </w:t>
      </w:r>
      <w:r w:rsidR="00925DEA">
        <w:rPr>
          <w:rFonts w:ascii="Calibri" w:hAnsi="Calibri" w:cs="Calibri"/>
          <w:sz w:val="22"/>
          <w:szCs w:val="22"/>
        </w:rPr>
        <w:t xml:space="preserve">80,8% u odnosu na plan </w:t>
      </w:r>
      <w:r>
        <w:rPr>
          <w:rFonts w:ascii="Calibri" w:hAnsi="Calibri" w:cs="Calibri"/>
          <w:sz w:val="22"/>
          <w:szCs w:val="22"/>
        </w:rPr>
        <w:t xml:space="preserve">te </w:t>
      </w:r>
      <w:r w:rsidR="0000205D">
        <w:rPr>
          <w:rFonts w:ascii="Calibri" w:hAnsi="Calibri" w:cs="Calibri"/>
          <w:sz w:val="22"/>
          <w:szCs w:val="22"/>
        </w:rPr>
        <w:t>povećanje</w:t>
      </w:r>
      <w:r>
        <w:rPr>
          <w:rFonts w:ascii="Calibri" w:hAnsi="Calibri" w:cs="Calibri"/>
          <w:sz w:val="22"/>
          <w:szCs w:val="22"/>
        </w:rPr>
        <w:t xml:space="preserve"> od </w:t>
      </w:r>
      <w:r w:rsidR="00925DEA">
        <w:rPr>
          <w:rFonts w:ascii="Calibri" w:hAnsi="Calibri" w:cs="Calibri"/>
          <w:sz w:val="22"/>
          <w:szCs w:val="22"/>
        </w:rPr>
        <w:t>52,7</w:t>
      </w:r>
      <w:r>
        <w:rPr>
          <w:rFonts w:ascii="Calibri" w:hAnsi="Calibri" w:cs="Calibri"/>
          <w:sz w:val="22"/>
          <w:szCs w:val="22"/>
        </w:rPr>
        <w:t>% u odnosu na isto izvještajno razdoblje 202</w:t>
      </w:r>
      <w:r w:rsidR="00925DE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godine.</w:t>
      </w:r>
    </w:p>
    <w:p w:rsidR="00143CD7" w:rsidRPr="00143CD7" w:rsidRDefault="00143CD7" w:rsidP="00143CD7">
      <w:pPr>
        <w:pStyle w:val="Tijeloteksta"/>
        <w:spacing w:line="276" w:lineRule="auto"/>
        <w:ind w:left="360"/>
        <w:rPr>
          <w:rFonts w:asciiTheme="minorHAnsi" w:hAnsiTheme="minorHAnsi" w:cstheme="minorHAnsi"/>
          <w:iCs/>
          <w:sz w:val="22"/>
          <w:szCs w:val="22"/>
        </w:rPr>
      </w:pPr>
      <w:r w:rsidRPr="00143CD7">
        <w:rPr>
          <w:rFonts w:ascii="Calibri" w:hAnsi="Calibri" w:cs="Calibri"/>
          <w:b/>
          <w:i/>
          <w:sz w:val="22"/>
          <w:szCs w:val="22"/>
        </w:rPr>
        <w:t>Kapitalne pomoći od institucija i tijela EU (šifra 632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143CD7">
        <w:rPr>
          <w:rFonts w:ascii="Calibri" w:hAnsi="Calibri" w:cs="Calibri"/>
          <w:b/>
          <w:i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143CD7">
        <w:rPr>
          <w:rFonts w:asciiTheme="minorHAnsi" w:hAnsiTheme="minorHAnsi" w:cstheme="minorHAnsi"/>
          <w:iCs/>
          <w:sz w:val="22"/>
          <w:szCs w:val="22"/>
        </w:rPr>
        <w:t>odnose se na provedbu projekta „Thematic“ (</w:t>
      </w:r>
      <w:r w:rsidRPr="00143CD7">
        <w:rPr>
          <w:rFonts w:asciiTheme="minorHAnsi" w:hAnsiTheme="minorHAnsi" w:cstheme="minorHAnsi"/>
          <w:i/>
          <w:iCs/>
          <w:sz w:val="22"/>
          <w:szCs w:val="22"/>
        </w:rPr>
        <w:t xml:space="preserve">ima za cilj promicanje razvoja održivog i pristupačnog turizma u jadransko-jonskoj regiji) </w:t>
      </w:r>
      <w:r w:rsidRPr="00143CD7">
        <w:rPr>
          <w:rFonts w:asciiTheme="minorHAnsi" w:hAnsiTheme="minorHAnsi" w:cstheme="minorHAnsi"/>
          <w:iCs/>
          <w:sz w:val="22"/>
          <w:szCs w:val="22"/>
        </w:rPr>
        <w:t>u visini plaćenih priznatih rashoda,</w:t>
      </w:r>
      <w:r>
        <w:rPr>
          <w:rFonts w:asciiTheme="minorHAnsi" w:hAnsiTheme="minorHAnsi" w:cstheme="minorHAnsi"/>
          <w:iCs/>
          <w:sz w:val="22"/>
          <w:szCs w:val="22"/>
        </w:rPr>
        <w:t xml:space="preserve"> a ostvarene su u iznosu od </w:t>
      </w:r>
      <w:r w:rsidR="00925DEA">
        <w:rPr>
          <w:rFonts w:asciiTheme="minorHAnsi" w:hAnsiTheme="minorHAnsi" w:cstheme="minorHAnsi"/>
          <w:iCs/>
          <w:sz w:val="22"/>
          <w:szCs w:val="22"/>
        </w:rPr>
        <w:t>19.691,35</w:t>
      </w:r>
      <w:r>
        <w:rPr>
          <w:rFonts w:asciiTheme="minorHAnsi" w:hAnsiTheme="minorHAnsi" w:cstheme="minorHAnsi"/>
          <w:iCs/>
          <w:sz w:val="22"/>
          <w:szCs w:val="22"/>
        </w:rPr>
        <w:t xml:space="preserve"> eura,</w:t>
      </w:r>
    </w:p>
    <w:p w:rsidR="0000205D" w:rsidRDefault="0000205D" w:rsidP="00143CD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Tekuće pomoći proračunu iz drugih proračuna (šifra 6331)</w:t>
      </w:r>
      <w:r>
        <w:rPr>
          <w:rFonts w:ascii="Calibri" w:hAnsi="Calibri" w:cs="Calibri"/>
          <w:iCs/>
          <w:sz w:val="22"/>
          <w:szCs w:val="22"/>
        </w:rPr>
        <w:t xml:space="preserve"> – ostvarene su u iznosu od </w:t>
      </w:r>
      <w:r w:rsidR="00925DEA">
        <w:rPr>
          <w:rFonts w:ascii="Calibri" w:hAnsi="Calibri" w:cs="Calibri"/>
          <w:iCs/>
          <w:sz w:val="22"/>
          <w:szCs w:val="22"/>
        </w:rPr>
        <w:t>127.308,46</w:t>
      </w:r>
      <w:r>
        <w:rPr>
          <w:rFonts w:ascii="Calibri" w:hAnsi="Calibri" w:cs="Calibri"/>
          <w:iCs/>
          <w:sz w:val="22"/>
          <w:szCs w:val="22"/>
        </w:rPr>
        <w:t xml:space="preserve"> eura što predstavlja ostvarenje od </w:t>
      </w:r>
      <w:r w:rsidR="00925DEA">
        <w:rPr>
          <w:rFonts w:ascii="Calibri" w:hAnsi="Calibri" w:cs="Calibri"/>
          <w:iCs/>
          <w:sz w:val="22"/>
          <w:szCs w:val="22"/>
        </w:rPr>
        <w:t>80,1</w:t>
      </w:r>
      <w:r>
        <w:rPr>
          <w:rFonts w:ascii="Calibri" w:hAnsi="Calibri" w:cs="Calibri"/>
          <w:iCs/>
          <w:sz w:val="22"/>
          <w:szCs w:val="22"/>
        </w:rPr>
        <w:t>% u odnosu na plan. Ove se pomoći odnose na tekuće pomoći iz državnog, županijskog i općinskih proračuna:</w:t>
      </w:r>
    </w:p>
    <w:p w:rsidR="00260EE7" w:rsidRPr="00260EE7" w:rsidRDefault="00260EE7" w:rsidP="00FC69E1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sredstva za fiskalnu održivost dječjih vrtića </w:t>
      </w:r>
      <w:r w:rsidRPr="00260EE7">
        <w:rPr>
          <w:rFonts w:asciiTheme="minorHAnsi" w:hAnsiTheme="minorHAnsi" w:cstheme="minorHAnsi"/>
          <w:sz w:val="22"/>
          <w:szCs w:val="22"/>
        </w:rPr>
        <w:t>u cilju dostupnosti i unaprjeđenja ranog i predškolskog odgoja i obrazovanja.</w:t>
      </w:r>
      <w:r>
        <w:rPr>
          <w:rFonts w:asciiTheme="minorHAnsi" w:hAnsiTheme="minorHAnsi" w:cstheme="minorHAnsi"/>
          <w:sz w:val="22"/>
          <w:szCs w:val="22"/>
        </w:rPr>
        <w:t xml:space="preserve"> Ministarstvo znanosti i obrazovanja RH je do kraja 202</w:t>
      </w:r>
      <w:r w:rsidR="00925DE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godine izvršilo doznake sredstava u iznosu od </w:t>
      </w:r>
      <w:r w:rsidR="00925DEA">
        <w:rPr>
          <w:rFonts w:asciiTheme="minorHAnsi" w:hAnsiTheme="minorHAnsi" w:cstheme="minorHAnsi"/>
          <w:sz w:val="22"/>
          <w:szCs w:val="22"/>
        </w:rPr>
        <w:t>92.772,00</w:t>
      </w:r>
      <w:r>
        <w:rPr>
          <w:rFonts w:asciiTheme="minorHAnsi" w:hAnsiTheme="minorHAnsi" w:cstheme="minorHAnsi"/>
          <w:sz w:val="22"/>
          <w:szCs w:val="22"/>
        </w:rPr>
        <w:t xml:space="preserve"> eura</w:t>
      </w:r>
    </w:p>
    <w:p w:rsidR="0000205D" w:rsidRDefault="0000205D" w:rsidP="00FC69E1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sufinanciranje provedbe </w:t>
      </w:r>
      <w:r w:rsidRPr="00135DC5">
        <w:rPr>
          <w:rFonts w:ascii="Calibri" w:hAnsi="Calibri" w:cs="Calibri"/>
          <w:i/>
          <w:iCs/>
          <w:sz w:val="22"/>
          <w:szCs w:val="22"/>
        </w:rPr>
        <w:t>Pomoći u kući</w:t>
      </w:r>
      <w:r>
        <w:rPr>
          <w:rFonts w:ascii="Calibri" w:hAnsi="Calibri" w:cs="Calibri"/>
          <w:iCs/>
          <w:sz w:val="22"/>
          <w:szCs w:val="22"/>
        </w:rPr>
        <w:t xml:space="preserve"> (</w:t>
      </w:r>
      <w:r w:rsidRPr="00135DC5">
        <w:rPr>
          <w:rFonts w:ascii="Calibri" w:hAnsi="Calibri" w:cs="Calibri"/>
          <w:i/>
          <w:iCs/>
          <w:sz w:val="22"/>
          <w:szCs w:val="22"/>
        </w:rPr>
        <w:t xml:space="preserve">Ugovor o načinu i uvjetima financiranja pružanja usluga pomoći u kući starijim osobama – sufinanciranje toplih obroka za starije i nemoćne od  </w:t>
      </w:r>
      <w:r w:rsidR="00260EE7">
        <w:rPr>
          <w:rFonts w:ascii="Calibri" w:hAnsi="Calibri" w:cs="Calibri"/>
          <w:i/>
          <w:iCs/>
          <w:sz w:val="22"/>
          <w:szCs w:val="22"/>
        </w:rPr>
        <w:t xml:space="preserve"> siječnja 202</w:t>
      </w:r>
      <w:r w:rsidR="00925DEA">
        <w:rPr>
          <w:rFonts w:ascii="Calibri" w:hAnsi="Calibri" w:cs="Calibri"/>
          <w:i/>
          <w:iCs/>
          <w:sz w:val="22"/>
          <w:szCs w:val="22"/>
        </w:rPr>
        <w:t>4</w:t>
      </w:r>
      <w:r w:rsidRPr="00135DC5">
        <w:rPr>
          <w:rFonts w:ascii="Calibri" w:hAnsi="Calibri" w:cs="Calibri"/>
          <w:i/>
          <w:iCs/>
          <w:sz w:val="22"/>
          <w:szCs w:val="22"/>
        </w:rPr>
        <w:t>. godine)</w:t>
      </w:r>
      <w:r>
        <w:rPr>
          <w:rFonts w:ascii="Calibri" w:hAnsi="Calibri" w:cs="Calibri"/>
          <w:iCs/>
          <w:sz w:val="22"/>
          <w:szCs w:val="22"/>
        </w:rPr>
        <w:t xml:space="preserve"> u iznosu od </w:t>
      </w:r>
      <w:r w:rsidR="00925DEA">
        <w:rPr>
          <w:rFonts w:ascii="Calibri" w:hAnsi="Calibri" w:cs="Calibri"/>
          <w:iCs/>
          <w:sz w:val="22"/>
          <w:szCs w:val="22"/>
        </w:rPr>
        <w:t>7.000</w:t>
      </w:r>
      <w:r w:rsidR="00260EE7">
        <w:rPr>
          <w:rFonts w:ascii="Calibri" w:hAnsi="Calibri" w:cs="Calibri"/>
          <w:iCs/>
          <w:sz w:val="22"/>
          <w:szCs w:val="22"/>
        </w:rPr>
        <w:t>,00 eura,</w:t>
      </w:r>
    </w:p>
    <w:p w:rsidR="00925DEA" w:rsidRDefault="00987E64" w:rsidP="00925DEA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redstva za </w:t>
      </w:r>
      <w:r w:rsidR="00925DEA" w:rsidRPr="00925DEA">
        <w:rPr>
          <w:rFonts w:ascii="Calibri" w:hAnsi="Calibri" w:cs="Calibri"/>
          <w:iCs/>
          <w:sz w:val="22"/>
          <w:szCs w:val="22"/>
        </w:rPr>
        <w:t>sufinanciranje projekta „Avantura – Otok“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 u  iznosu od </w:t>
      </w:r>
      <w:r w:rsidR="00925DEA" w:rsidRPr="00925DEA">
        <w:rPr>
          <w:rFonts w:ascii="Calibri" w:hAnsi="Calibri" w:cs="Calibri"/>
          <w:iCs/>
          <w:sz w:val="22"/>
          <w:szCs w:val="22"/>
        </w:rPr>
        <w:t>7.500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,00 </w:t>
      </w:r>
      <w:r w:rsidR="00260EE7" w:rsidRPr="00925DEA">
        <w:rPr>
          <w:rFonts w:ascii="Calibri" w:hAnsi="Calibri" w:cs="Calibri"/>
          <w:iCs/>
          <w:sz w:val="22"/>
          <w:szCs w:val="22"/>
        </w:rPr>
        <w:t>eura</w:t>
      </w:r>
      <w:r w:rsidR="0000205D" w:rsidRPr="00925DEA">
        <w:rPr>
          <w:rFonts w:ascii="Calibri" w:hAnsi="Calibri" w:cs="Calibri"/>
          <w:iCs/>
          <w:sz w:val="22"/>
          <w:szCs w:val="22"/>
        </w:rPr>
        <w:t xml:space="preserve">, </w:t>
      </w:r>
    </w:p>
    <w:p w:rsidR="00987E64" w:rsidRPr="00987E64" w:rsidRDefault="0046568F" w:rsidP="00987E64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987E64">
        <w:rPr>
          <w:rFonts w:asciiTheme="minorHAnsi" w:hAnsiTheme="minorHAnsi" w:cstheme="minorHAnsi"/>
          <w:iCs/>
          <w:sz w:val="22"/>
          <w:szCs w:val="22"/>
        </w:rPr>
        <w:t xml:space="preserve">sredstva sufinanciranja timova opće i hitne medicine u svrhu medicinskog prijevoza morem u iznosu od </w:t>
      </w:r>
      <w:r w:rsidR="00987E64">
        <w:rPr>
          <w:rFonts w:asciiTheme="minorHAnsi" w:hAnsiTheme="minorHAnsi" w:cstheme="minorHAnsi"/>
          <w:iCs/>
          <w:sz w:val="22"/>
          <w:szCs w:val="22"/>
        </w:rPr>
        <w:t>20.036,46</w:t>
      </w:r>
      <w:r w:rsidRPr="00987E64">
        <w:rPr>
          <w:rFonts w:asciiTheme="minorHAnsi" w:hAnsiTheme="minorHAnsi" w:cstheme="minorHAnsi"/>
          <w:iCs/>
          <w:sz w:val="22"/>
          <w:szCs w:val="22"/>
        </w:rPr>
        <w:t xml:space="preserve"> eura </w:t>
      </w:r>
    </w:p>
    <w:p w:rsidR="00B351BF" w:rsidRPr="00987E64" w:rsidRDefault="00B351BF" w:rsidP="004B7B64">
      <w:pPr>
        <w:pStyle w:val="Tijeloteksta"/>
        <w:numPr>
          <w:ilvl w:val="0"/>
          <w:numId w:val="5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987E64">
        <w:rPr>
          <w:rFonts w:ascii="Calibri" w:hAnsi="Calibri" w:cs="Calibri"/>
          <w:b/>
          <w:i/>
          <w:iCs/>
          <w:sz w:val="22"/>
          <w:szCs w:val="22"/>
        </w:rPr>
        <w:t xml:space="preserve">Kapitalne pomoći proračunu iz drugih proračuna (šifra 6332) </w:t>
      </w:r>
      <w:r w:rsidRPr="00987E64">
        <w:rPr>
          <w:rFonts w:ascii="Calibri" w:hAnsi="Calibri" w:cs="Calibri"/>
          <w:iCs/>
          <w:sz w:val="22"/>
          <w:szCs w:val="22"/>
        </w:rPr>
        <w:t xml:space="preserve">– ostvarene su u iznosu od </w:t>
      </w:r>
      <w:r w:rsidR="004B7B64">
        <w:rPr>
          <w:rFonts w:ascii="Calibri" w:hAnsi="Calibri" w:cs="Calibri"/>
          <w:iCs/>
          <w:sz w:val="22"/>
          <w:szCs w:val="22"/>
        </w:rPr>
        <w:t>329.304,81</w:t>
      </w:r>
      <w:r w:rsidRPr="00987E64">
        <w:rPr>
          <w:rFonts w:ascii="Calibri" w:hAnsi="Calibri" w:cs="Calibri"/>
          <w:iCs/>
          <w:sz w:val="22"/>
          <w:szCs w:val="22"/>
        </w:rPr>
        <w:t xml:space="preserve"> eura što predstavlja ostvarenje u iznosu od </w:t>
      </w:r>
      <w:r w:rsidR="004B7B64">
        <w:rPr>
          <w:rFonts w:ascii="Calibri" w:hAnsi="Calibri" w:cs="Calibri"/>
          <w:iCs/>
          <w:sz w:val="22"/>
          <w:szCs w:val="22"/>
        </w:rPr>
        <w:t>90,4</w:t>
      </w:r>
      <w:r w:rsidRPr="00987E64">
        <w:rPr>
          <w:rFonts w:ascii="Calibri" w:hAnsi="Calibri" w:cs="Calibri"/>
          <w:iCs/>
          <w:sz w:val="22"/>
          <w:szCs w:val="22"/>
        </w:rPr>
        <w:t xml:space="preserve">% u odnosu  na plan i povećanje od </w:t>
      </w:r>
      <w:r w:rsidR="004B7B64">
        <w:rPr>
          <w:rFonts w:ascii="Calibri" w:hAnsi="Calibri" w:cs="Calibri"/>
          <w:iCs/>
          <w:sz w:val="22"/>
          <w:szCs w:val="22"/>
        </w:rPr>
        <w:t>61,4</w:t>
      </w:r>
      <w:r w:rsidRPr="00987E64">
        <w:rPr>
          <w:rFonts w:ascii="Calibri" w:hAnsi="Calibri" w:cs="Calibri"/>
          <w:iCs/>
          <w:sz w:val="22"/>
          <w:szCs w:val="22"/>
        </w:rPr>
        <w:t>% u odnosu na ostvareno u istom izvještajnom razdoblju 202</w:t>
      </w:r>
      <w:r w:rsidR="004B7B64">
        <w:rPr>
          <w:rFonts w:ascii="Calibri" w:hAnsi="Calibri" w:cs="Calibri"/>
          <w:iCs/>
          <w:sz w:val="22"/>
          <w:szCs w:val="22"/>
        </w:rPr>
        <w:t>3</w:t>
      </w:r>
      <w:r w:rsidRPr="00987E64">
        <w:rPr>
          <w:rFonts w:ascii="Calibri" w:hAnsi="Calibri" w:cs="Calibri"/>
          <w:iCs/>
          <w:sz w:val="22"/>
          <w:szCs w:val="22"/>
        </w:rPr>
        <w:t>. godine, a odnose se na:</w:t>
      </w:r>
    </w:p>
    <w:p w:rsidR="004B7B64" w:rsidRPr="0029504D" w:rsidRDefault="004B7B64" w:rsidP="004B7B64">
      <w:pPr>
        <w:pStyle w:val="Tijeloteksta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29504D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sredstva </w:t>
      </w:r>
      <w:r w:rsidR="0029504D">
        <w:rPr>
          <w:rFonts w:asciiTheme="minorHAnsi" w:hAnsiTheme="minorHAnsi" w:cstheme="minorHAnsi"/>
          <w:iCs/>
          <w:sz w:val="22"/>
          <w:szCs w:val="22"/>
        </w:rPr>
        <w:t xml:space="preserve">pomoći </w:t>
      </w:r>
      <w:r w:rsidRPr="0029504D">
        <w:rPr>
          <w:rFonts w:asciiTheme="minorHAnsi" w:hAnsiTheme="minorHAnsi" w:cstheme="minorHAnsi"/>
          <w:iCs/>
          <w:sz w:val="22"/>
          <w:szCs w:val="22"/>
        </w:rPr>
        <w:t>Ministarstva regionalnog razvoja i fondova EU (</w:t>
      </w:r>
      <w:r w:rsidRPr="0029504D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r w:rsidRPr="0029504D">
        <w:rPr>
          <w:rFonts w:asciiTheme="minorHAnsi" w:hAnsiTheme="minorHAnsi" w:cstheme="minorHAnsi"/>
          <w:i/>
          <w:sz w:val="22"/>
          <w:szCs w:val="22"/>
        </w:rPr>
        <w:t>Ugovoru o sufinanciranju izgradnje i uređenja društvenih domova Lukoran i Poljana)</w:t>
      </w:r>
      <w:r w:rsidRPr="0029504D">
        <w:rPr>
          <w:rFonts w:asciiTheme="minorHAnsi" w:hAnsiTheme="minorHAnsi" w:cstheme="minorHAnsi"/>
          <w:sz w:val="22"/>
          <w:szCs w:val="22"/>
        </w:rPr>
        <w:t xml:space="preserve"> u iznosu od 100.000,00 eura,</w:t>
      </w:r>
    </w:p>
    <w:p w:rsidR="00A069CE" w:rsidRPr="00A069CE" w:rsidRDefault="00B351BF" w:rsidP="00C7661E">
      <w:pPr>
        <w:pStyle w:val="Tijeloteksta"/>
        <w:numPr>
          <w:ilvl w:val="0"/>
          <w:numId w:val="6"/>
        </w:num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A069CE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>
        <w:rPr>
          <w:rFonts w:ascii="Calibri" w:hAnsi="Calibri" w:cs="Calibri"/>
          <w:iCs/>
          <w:sz w:val="22"/>
          <w:szCs w:val="22"/>
        </w:rPr>
        <w:t xml:space="preserve">pomoći </w:t>
      </w:r>
      <w:r w:rsidRPr="00A069CE">
        <w:rPr>
          <w:rFonts w:ascii="Calibri" w:hAnsi="Calibri" w:cs="Calibri"/>
          <w:iCs/>
          <w:sz w:val="22"/>
          <w:szCs w:val="22"/>
        </w:rPr>
        <w:t xml:space="preserve">Ministarstva regionalnog razvoja i fondova EU za </w:t>
      </w:r>
      <w:r w:rsidR="00020E1F">
        <w:rPr>
          <w:rFonts w:ascii="Calibri" w:hAnsi="Calibri" w:cs="Calibri"/>
          <w:iCs/>
          <w:sz w:val="22"/>
          <w:szCs w:val="22"/>
        </w:rPr>
        <w:t>uređenje uljare na Sestrunju</w:t>
      </w:r>
      <w:r w:rsidRPr="00A069C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069CE">
        <w:rPr>
          <w:rFonts w:ascii="Calibri" w:hAnsi="Calibri" w:cs="Calibri"/>
          <w:iCs/>
          <w:sz w:val="22"/>
          <w:szCs w:val="22"/>
        </w:rPr>
        <w:t xml:space="preserve">u iznosu od </w:t>
      </w:r>
      <w:r w:rsidR="00020E1F">
        <w:rPr>
          <w:rFonts w:ascii="Calibri" w:hAnsi="Calibri" w:cs="Calibri"/>
          <w:iCs/>
          <w:sz w:val="22"/>
          <w:szCs w:val="22"/>
        </w:rPr>
        <w:t>49.801,06 eura</w:t>
      </w:r>
      <w:r w:rsidR="00A069CE" w:rsidRPr="00A069CE">
        <w:rPr>
          <w:rFonts w:ascii="Calibri" w:hAnsi="Calibri" w:cs="Calibri"/>
          <w:iCs/>
          <w:sz w:val="22"/>
          <w:szCs w:val="22"/>
        </w:rPr>
        <w:t>,</w:t>
      </w:r>
      <w:r w:rsidRPr="00A069CE">
        <w:rPr>
          <w:rFonts w:ascii="Calibri" w:hAnsi="Calibri" w:cs="Calibri"/>
          <w:iCs/>
          <w:sz w:val="22"/>
          <w:szCs w:val="22"/>
        </w:rPr>
        <w:t xml:space="preserve"> </w:t>
      </w:r>
    </w:p>
    <w:p w:rsidR="0029504D" w:rsidRPr="0029504D" w:rsidRDefault="00B351BF" w:rsidP="003D1359">
      <w:pPr>
        <w:pStyle w:val="Tijeloteksta"/>
        <w:numPr>
          <w:ilvl w:val="0"/>
          <w:numId w:val="6"/>
        </w:num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29504D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 w:rsidRPr="0029504D">
        <w:rPr>
          <w:rFonts w:ascii="Calibri" w:hAnsi="Calibri" w:cs="Calibri"/>
          <w:iCs/>
          <w:sz w:val="22"/>
          <w:szCs w:val="22"/>
        </w:rPr>
        <w:t xml:space="preserve">pomoći </w:t>
      </w:r>
      <w:r w:rsidRPr="0029504D">
        <w:rPr>
          <w:rFonts w:ascii="Calibri" w:hAnsi="Calibri" w:cs="Calibri"/>
          <w:iCs/>
          <w:sz w:val="22"/>
          <w:szCs w:val="22"/>
        </w:rPr>
        <w:t xml:space="preserve">Ministarstva </w:t>
      </w:r>
      <w:r w:rsidR="00A069CE" w:rsidRPr="0029504D">
        <w:rPr>
          <w:rFonts w:ascii="Calibri" w:hAnsi="Calibri" w:cs="Calibri"/>
          <w:iCs/>
          <w:sz w:val="22"/>
          <w:szCs w:val="22"/>
        </w:rPr>
        <w:t>unutarnjih poslova</w:t>
      </w:r>
      <w:r w:rsidRPr="0029504D">
        <w:rPr>
          <w:rFonts w:ascii="Calibri" w:hAnsi="Calibri" w:cs="Calibri"/>
          <w:iCs/>
          <w:sz w:val="22"/>
          <w:szCs w:val="22"/>
        </w:rPr>
        <w:t xml:space="preserve"> RH </w:t>
      </w:r>
      <w:r w:rsidRPr="0029504D">
        <w:rPr>
          <w:rFonts w:ascii="Calibri" w:hAnsi="Calibri" w:cs="Calibri"/>
          <w:i/>
          <w:iCs/>
          <w:sz w:val="22"/>
          <w:szCs w:val="22"/>
        </w:rPr>
        <w:t xml:space="preserve">za </w:t>
      </w:r>
      <w:r w:rsidR="00A069CE" w:rsidRPr="0029504D">
        <w:rPr>
          <w:rFonts w:ascii="Calibri" w:hAnsi="Calibri" w:cs="Calibri"/>
          <w:i/>
          <w:iCs/>
          <w:sz w:val="22"/>
          <w:szCs w:val="22"/>
        </w:rPr>
        <w:t>sanaciju opasnih mjesta</w:t>
      </w:r>
      <w:r w:rsidRPr="0029504D">
        <w:rPr>
          <w:rFonts w:ascii="Calibri" w:hAnsi="Calibri" w:cs="Calibri"/>
          <w:iCs/>
          <w:sz w:val="22"/>
          <w:szCs w:val="22"/>
        </w:rPr>
        <w:t xml:space="preserve"> u iznosu od </w:t>
      </w:r>
      <w:r w:rsidR="00020E1F" w:rsidRPr="0029504D">
        <w:rPr>
          <w:rFonts w:ascii="Calibri" w:hAnsi="Calibri" w:cs="Calibri"/>
          <w:iCs/>
          <w:sz w:val="22"/>
          <w:szCs w:val="22"/>
        </w:rPr>
        <w:t>32.803,75</w:t>
      </w:r>
      <w:r w:rsidR="0029504D">
        <w:rPr>
          <w:rFonts w:ascii="Calibri" w:hAnsi="Calibri" w:cs="Calibri"/>
          <w:iCs/>
          <w:sz w:val="22"/>
          <w:szCs w:val="22"/>
        </w:rPr>
        <w:t xml:space="preserve"> eura,</w:t>
      </w:r>
    </w:p>
    <w:p w:rsidR="0029504D" w:rsidRPr="0029504D" w:rsidRDefault="00A069CE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9504D">
        <w:rPr>
          <w:rFonts w:ascii="Calibri" w:hAnsi="Calibri" w:cs="Calibri"/>
          <w:iCs/>
          <w:sz w:val="22"/>
          <w:szCs w:val="22"/>
        </w:rPr>
        <w:t xml:space="preserve">sredstva </w:t>
      </w:r>
      <w:r w:rsidR="0029504D" w:rsidRPr="0029504D">
        <w:rPr>
          <w:rFonts w:ascii="Calibri" w:hAnsi="Calibri" w:cs="Calibri"/>
          <w:iCs/>
          <w:sz w:val="22"/>
          <w:szCs w:val="22"/>
        </w:rPr>
        <w:t>pomoći Ministarstva demografije i useljeništva RH za sufinanciranje projekta „Mala škola nogometa“</w:t>
      </w:r>
      <w:r w:rsidRPr="0029504D">
        <w:rPr>
          <w:rFonts w:ascii="Calibri" w:hAnsi="Calibri" w:cs="Calibri"/>
          <w:iCs/>
          <w:sz w:val="22"/>
          <w:szCs w:val="22"/>
        </w:rPr>
        <w:t xml:space="preserve"> u iznosu od </w:t>
      </w:r>
      <w:r w:rsidR="0029504D" w:rsidRPr="0029504D">
        <w:rPr>
          <w:rFonts w:ascii="Calibri" w:hAnsi="Calibri" w:cs="Calibri"/>
          <w:iCs/>
          <w:sz w:val="22"/>
          <w:szCs w:val="22"/>
        </w:rPr>
        <w:t>25.000,00</w:t>
      </w:r>
      <w:r w:rsidR="0029504D">
        <w:rPr>
          <w:rFonts w:ascii="Calibri" w:hAnsi="Calibri" w:cs="Calibri"/>
          <w:iCs/>
          <w:sz w:val="22"/>
          <w:szCs w:val="22"/>
        </w:rPr>
        <w:t xml:space="preserve"> eura, </w:t>
      </w:r>
    </w:p>
    <w:p w:rsidR="0029504D" w:rsidRPr="0029504D" w:rsidRDefault="0029504D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sredstva pomoći Ministarstva </w:t>
      </w:r>
      <w:r w:rsidRPr="00A069CE">
        <w:rPr>
          <w:rFonts w:ascii="Calibri" w:hAnsi="Calibri" w:cs="Calibri"/>
          <w:iCs/>
          <w:sz w:val="22"/>
          <w:szCs w:val="22"/>
        </w:rPr>
        <w:t>regionalnog razvoja i fondova EU</w:t>
      </w:r>
      <w:r>
        <w:rPr>
          <w:rFonts w:ascii="Calibri" w:hAnsi="Calibri" w:cs="Calibri"/>
          <w:iCs/>
          <w:sz w:val="22"/>
          <w:szCs w:val="22"/>
        </w:rPr>
        <w:t xml:space="preserve"> za sufinanciranje izgradnje mrtvačnice na novom groblju u Preku u iznosu od 87.500,00 eura te </w:t>
      </w:r>
    </w:p>
    <w:p w:rsidR="0029504D" w:rsidRPr="0029504D" w:rsidRDefault="0029504D" w:rsidP="0029504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sredstva pomoći Ministarstva graditeljstva i prostornog uređenja RH za nabavu ulične čistilice u iznosu od 34.200,00 eura</w:t>
      </w:r>
    </w:p>
    <w:p w:rsidR="00536752" w:rsidRPr="0029504D" w:rsidRDefault="00536752" w:rsidP="003F4D2E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9504D">
        <w:rPr>
          <w:rFonts w:asciiTheme="minorHAnsi" w:hAnsiTheme="minorHAnsi" w:cstheme="minorHAnsi"/>
          <w:b/>
          <w:i/>
          <w:iCs/>
          <w:sz w:val="22"/>
          <w:szCs w:val="22"/>
        </w:rPr>
        <w:t>Kapitalne pomoći od ostalih izvanproračunskih korisnika državnog proračuna</w:t>
      </w:r>
      <w:r w:rsidR="00102EDE" w:rsidRPr="0029504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(šifra 6342)</w:t>
      </w:r>
      <w:r w:rsidRPr="0029504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29504D">
        <w:rPr>
          <w:rFonts w:asciiTheme="minorHAnsi" w:hAnsiTheme="minorHAnsi" w:cstheme="minorHAnsi"/>
          <w:iCs/>
          <w:sz w:val="22"/>
          <w:szCs w:val="22"/>
        </w:rPr>
        <w:t xml:space="preserve">u iznosu od </w:t>
      </w:r>
      <w:r w:rsidR="0029504D">
        <w:rPr>
          <w:rFonts w:asciiTheme="minorHAnsi" w:hAnsiTheme="minorHAnsi" w:cstheme="minorHAnsi"/>
          <w:iCs/>
          <w:sz w:val="22"/>
          <w:szCs w:val="22"/>
        </w:rPr>
        <w:t>9.870,00</w:t>
      </w:r>
      <w:r w:rsidRPr="0029504D">
        <w:rPr>
          <w:rFonts w:asciiTheme="minorHAnsi" w:hAnsiTheme="minorHAnsi" w:cstheme="minorHAnsi"/>
          <w:iCs/>
          <w:sz w:val="22"/>
          <w:szCs w:val="22"/>
        </w:rPr>
        <w:t xml:space="preserve"> eura od Fonda za zaštitu okoliša i energetsku učinkovitost </w:t>
      </w:r>
      <w:r w:rsidRPr="0029504D">
        <w:rPr>
          <w:rFonts w:asciiTheme="minorHAnsi" w:hAnsiTheme="minorHAnsi" w:cstheme="minorHAnsi"/>
          <w:sz w:val="22"/>
          <w:szCs w:val="22"/>
        </w:rPr>
        <w:t xml:space="preserve">za sufinanciranje pametnih spremnika „Bigbelly“ </w:t>
      </w:r>
      <w:r w:rsidRPr="0029504D">
        <w:rPr>
          <w:rFonts w:asciiTheme="minorHAnsi" w:hAnsiTheme="minorHAnsi" w:cstheme="minorHAnsi"/>
          <w:i/>
          <w:sz w:val="22"/>
          <w:szCs w:val="22"/>
        </w:rPr>
        <w:t>(prema Ugovoru od 2</w:t>
      </w:r>
      <w:r w:rsidR="003F4D2E">
        <w:rPr>
          <w:rFonts w:asciiTheme="minorHAnsi" w:hAnsiTheme="minorHAnsi" w:cstheme="minorHAnsi"/>
          <w:i/>
          <w:sz w:val="22"/>
          <w:szCs w:val="22"/>
        </w:rPr>
        <w:t>2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F4D2E">
        <w:rPr>
          <w:rFonts w:asciiTheme="minorHAnsi" w:hAnsiTheme="minorHAnsi" w:cstheme="minorHAnsi"/>
          <w:i/>
          <w:sz w:val="22"/>
          <w:szCs w:val="22"/>
        </w:rPr>
        <w:t>svibnja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 202</w:t>
      </w:r>
      <w:r w:rsidR="003F4D2E">
        <w:rPr>
          <w:rFonts w:asciiTheme="minorHAnsi" w:hAnsiTheme="minorHAnsi" w:cstheme="minorHAnsi"/>
          <w:i/>
          <w:sz w:val="22"/>
          <w:szCs w:val="22"/>
        </w:rPr>
        <w:t>3</w:t>
      </w:r>
      <w:r w:rsidRPr="0029504D">
        <w:rPr>
          <w:rFonts w:asciiTheme="minorHAnsi" w:hAnsiTheme="minorHAnsi" w:cstheme="minorHAnsi"/>
          <w:i/>
          <w:sz w:val="22"/>
          <w:szCs w:val="22"/>
        </w:rPr>
        <w:t xml:space="preserve">. godine) </w:t>
      </w:r>
      <w:r w:rsidR="00E5496D">
        <w:rPr>
          <w:rFonts w:asciiTheme="minorHAnsi" w:hAnsiTheme="minorHAnsi" w:cstheme="minorHAnsi"/>
          <w:sz w:val="22"/>
          <w:szCs w:val="22"/>
        </w:rPr>
        <w:t>i odvojeno prikupljanje komunalnog otpada u iznosu od 9.813,60 eura,</w:t>
      </w:r>
    </w:p>
    <w:p w:rsidR="003F4D2E" w:rsidRPr="003F4D2E" w:rsidRDefault="00EC0E93" w:rsidP="003D1359">
      <w:pPr>
        <w:pStyle w:val="Tijeloteksta"/>
        <w:numPr>
          <w:ilvl w:val="0"/>
          <w:numId w:val="6"/>
        </w:numPr>
        <w:spacing w:line="276" w:lineRule="auto"/>
        <w:rPr>
          <w:rFonts w:ascii="Cambria" w:hAnsi="Cambria" w:cs="Calibri"/>
          <w:iCs/>
        </w:rPr>
      </w:pPr>
      <w:r w:rsidRPr="003F4D2E">
        <w:rPr>
          <w:rFonts w:ascii="Calibri" w:hAnsi="Calibri" w:cs="Calibri"/>
          <w:b/>
          <w:i/>
          <w:iCs/>
          <w:sz w:val="22"/>
          <w:szCs w:val="22"/>
        </w:rPr>
        <w:t>Tekuće pomoći temeljem prijenosa EU sredstava (šifra 6381)</w:t>
      </w:r>
      <w:r w:rsidRPr="003F4D2E">
        <w:rPr>
          <w:rFonts w:ascii="Calibri" w:hAnsi="Calibri" w:cs="Calibri"/>
          <w:iCs/>
          <w:sz w:val="22"/>
          <w:szCs w:val="22"/>
        </w:rPr>
        <w:t xml:space="preserve"> – ostvarene su iznosu od </w:t>
      </w:r>
      <w:r w:rsidR="003F4D2E" w:rsidRPr="003F4D2E">
        <w:rPr>
          <w:rFonts w:ascii="Calibri" w:hAnsi="Calibri" w:cs="Calibri"/>
          <w:iCs/>
          <w:sz w:val="22"/>
          <w:szCs w:val="22"/>
        </w:rPr>
        <w:t>104.906,14</w:t>
      </w:r>
      <w:r w:rsidR="00CA0F15" w:rsidRPr="003F4D2E">
        <w:rPr>
          <w:rFonts w:ascii="Calibri" w:hAnsi="Calibri" w:cs="Calibri"/>
          <w:iCs/>
          <w:sz w:val="22"/>
          <w:szCs w:val="22"/>
        </w:rPr>
        <w:t xml:space="preserve"> eura. </w:t>
      </w:r>
      <w:r w:rsidRPr="003F4D2E">
        <w:rPr>
          <w:rFonts w:ascii="Calibri" w:hAnsi="Calibri" w:cs="Calibri"/>
          <w:iCs/>
          <w:sz w:val="22"/>
          <w:szCs w:val="22"/>
        </w:rPr>
        <w:t xml:space="preserve">Ove se pomoći odnose na projekt – </w:t>
      </w:r>
      <w:r w:rsidRPr="003F4D2E">
        <w:rPr>
          <w:rFonts w:ascii="Calibri" w:hAnsi="Calibri" w:cs="Calibri"/>
          <w:i/>
          <w:iCs/>
          <w:sz w:val="22"/>
          <w:szCs w:val="22"/>
        </w:rPr>
        <w:t>Otočk</w:t>
      </w:r>
      <w:r w:rsidR="003F4D2E" w:rsidRPr="003F4D2E">
        <w:rPr>
          <w:rFonts w:ascii="Calibri" w:hAnsi="Calibri" w:cs="Calibri"/>
          <w:i/>
          <w:iCs/>
          <w:sz w:val="22"/>
          <w:szCs w:val="22"/>
        </w:rPr>
        <w:t>e ruke pomoći</w:t>
      </w:r>
      <w:r w:rsidRPr="003F4D2E">
        <w:rPr>
          <w:rFonts w:ascii="Calibri" w:hAnsi="Calibri" w:cs="Calibri"/>
          <w:iCs/>
          <w:sz w:val="22"/>
          <w:szCs w:val="22"/>
        </w:rPr>
        <w:t xml:space="preserve"> – </w:t>
      </w:r>
      <w:r w:rsidR="00AC0063" w:rsidRPr="003F4D2E">
        <w:rPr>
          <w:rFonts w:asciiTheme="minorHAnsi" w:hAnsiTheme="minorHAnsi" w:cstheme="minorHAnsi"/>
          <w:sz w:val="22"/>
          <w:szCs w:val="22"/>
          <w:shd w:val="clear" w:color="auto" w:fill="FFFFFF"/>
        </w:rPr>
        <w:t>sufinanciran sredstvima Europske unije iz Europskog socijalnog fonda u okviru Operativnog programa „Učinkoviti ljudski potencijali 2014.-2020.“ u sklopu Poziva za dodjelu bespovratnih sredstava „Zaželi – progr</w:t>
      </w:r>
      <w:r w:rsidR="003F4D2E" w:rsidRPr="003F4D2E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3F4D2E">
        <w:rPr>
          <w:rFonts w:asciiTheme="minorHAnsi" w:hAnsiTheme="minorHAnsi" w:cstheme="minorHAnsi"/>
          <w:sz w:val="22"/>
          <w:szCs w:val="22"/>
          <w:shd w:val="clear" w:color="auto" w:fill="FFFFFF"/>
        </w:rPr>
        <w:t>m zapošljavanja žena – faza II.,</w:t>
      </w:r>
    </w:p>
    <w:p w:rsidR="003F4D2E" w:rsidRPr="003F4D2E" w:rsidRDefault="003F4D2E" w:rsidP="003F4D2E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F4D2E">
        <w:rPr>
          <w:rFonts w:asciiTheme="minorHAnsi" w:hAnsiTheme="minorHAnsi" w:cstheme="minorHAnsi"/>
          <w:sz w:val="22"/>
          <w:szCs w:val="22"/>
        </w:rPr>
        <w:t xml:space="preserve">potporu Ministarstva poljoprivrede RH u iznosu od 44.816,64 eura za projekt „Večer priješke kužine“ u okviru Mjere 2. </w:t>
      </w:r>
      <w:r w:rsidRPr="003F4D2E">
        <w:rPr>
          <w:rFonts w:asciiTheme="minorHAnsi" w:hAnsiTheme="minorHAnsi" w:cstheme="minorHAnsi"/>
          <w:i/>
          <w:sz w:val="22"/>
          <w:szCs w:val="22"/>
        </w:rPr>
        <w:t>„Ulaganja u valorizaciju i promociju ribarske maritimne baštine“</w:t>
      </w:r>
      <w:r w:rsidRPr="003F4D2E">
        <w:rPr>
          <w:rFonts w:asciiTheme="minorHAnsi" w:hAnsiTheme="minorHAnsi" w:cstheme="minorHAnsi"/>
          <w:sz w:val="22"/>
          <w:szCs w:val="22"/>
        </w:rPr>
        <w:t xml:space="preserve"> i na</w:t>
      </w:r>
    </w:p>
    <w:p w:rsidR="003F4D2E" w:rsidRPr="00E5496D" w:rsidRDefault="003F4D2E" w:rsidP="00E5496D">
      <w:pPr>
        <w:pStyle w:val="Tijelotekst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4D2E">
        <w:rPr>
          <w:rFonts w:asciiTheme="minorHAnsi" w:hAnsiTheme="minorHAnsi" w:cstheme="minorHAnsi"/>
          <w:sz w:val="22"/>
          <w:szCs w:val="22"/>
        </w:rPr>
        <w:t xml:space="preserve">potporu Ministarstva poljoprivrede RH u iznosu od 83.953,61 eura za projekt „Morska avantura“ – uređenje i opremanje dječjeg igrališta u Sutomišćici u okviru Mjere 2. </w:t>
      </w:r>
      <w:r w:rsidRPr="003F4D2E">
        <w:rPr>
          <w:rFonts w:asciiTheme="minorHAnsi" w:hAnsiTheme="minorHAnsi" w:cstheme="minorHAnsi"/>
          <w:i/>
          <w:sz w:val="22"/>
          <w:szCs w:val="22"/>
        </w:rPr>
        <w:t>„Ulaganja u valorizaciju i promociju ribarske maritimne baštine“.</w:t>
      </w:r>
    </w:p>
    <w:p w:rsidR="00081D68" w:rsidRDefault="00EC0E93" w:rsidP="00647CD1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>PRIHODI OD IMOVINE (šifra 64)</w:t>
      </w:r>
      <w:r w:rsidR="00081D68"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081D68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46574A" w:rsidRPr="00287B96">
        <w:rPr>
          <w:rFonts w:ascii="Calibri" w:hAnsi="Calibri" w:cs="Calibri"/>
          <w:iCs/>
          <w:sz w:val="22"/>
          <w:szCs w:val="22"/>
        </w:rPr>
        <w:t>204.696,48</w:t>
      </w:r>
      <w:r w:rsidR="00E92C6B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081D68">
        <w:rPr>
          <w:rFonts w:ascii="Calibri" w:hAnsi="Calibri" w:cs="Calibri"/>
          <w:iCs/>
          <w:sz w:val="22"/>
          <w:szCs w:val="22"/>
        </w:rPr>
        <w:t xml:space="preserve"> što predstavlja ostvarenje od </w:t>
      </w:r>
      <w:r w:rsidR="00E92C6B">
        <w:rPr>
          <w:rFonts w:ascii="Calibri" w:hAnsi="Calibri" w:cs="Calibri"/>
          <w:iCs/>
          <w:sz w:val="22"/>
          <w:szCs w:val="22"/>
        </w:rPr>
        <w:t>87,</w:t>
      </w:r>
      <w:r w:rsidR="0046574A">
        <w:rPr>
          <w:rFonts w:ascii="Calibri" w:hAnsi="Calibri" w:cs="Calibri"/>
          <w:iCs/>
          <w:sz w:val="22"/>
          <w:szCs w:val="22"/>
        </w:rPr>
        <w:t>3</w:t>
      </w:r>
      <w:r w:rsidR="00081D68">
        <w:rPr>
          <w:rFonts w:ascii="Calibri" w:hAnsi="Calibri" w:cs="Calibri"/>
          <w:iCs/>
          <w:sz w:val="22"/>
          <w:szCs w:val="22"/>
        </w:rPr>
        <w:t xml:space="preserve">% u odnosu na plan i </w:t>
      </w:r>
      <w:r w:rsidR="00E92C6B">
        <w:rPr>
          <w:rFonts w:ascii="Calibri" w:hAnsi="Calibri" w:cs="Calibri"/>
          <w:iCs/>
          <w:sz w:val="22"/>
          <w:szCs w:val="22"/>
        </w:rPr>
        <w:t xml:space="preserve">povećanje </w:t>
      </w:r>
      <w:r w:rsidR="00AC0063">
        <w:rPr>
          <w:rFonts w:ascii="Calibri" w:hAnsi="Calibri" w:cs="Calibri"/>
          <w:iCs/>
          <w:sz w:val="22"/>
          <w:szCs w:val="22"/>
        </w:rPr>
        <w:t xml:space="preserve">za </w:t>
      </w:r>
      <w:r w:rsidR="0046574A">
        <w:rPr>
          <w:rFonts w:ascii="Calibri" w:hAnsi="Calibri" w:cs="Calibri"/>
          <w:iCs/>
          <w:sz w:val="22"/>
          <w:szCs w:val="22"/>
        </w:rPr>
        <w:t>3</w:t>
      </w:r>
      <w:r w:rsidR="00AC0063">
        <w:rPr>
          <w:rFonts w:ascii="Calibri" w:hAnsi="Calibri" w:cs="Calibri"/>
          <w:iCs/>
          <w:sz w:val="22"/>
          <w:szCs w:val="22"/>
        </w:rPr>
        <w:t>%</w:t>
      </w:r>
      <w:r w:rsidR="00434527">
        <w:rPr>
          <w:rFonts w:ascii="Calibri" w:hAnsi="Calibri" w:cs="Calibri"/>
          <w:iCs/>
          <w:sz w:val="22"/>
          <w:szCs w:val="22"/>
        </w:rPr>
        <w:t xml:space="preserve"> </w:t>
      </w:r>
      <w:r w:rsidR="00081D68">
        <w:rPr>
          <w:rFonts w:ascii="Calibri" w:hAnsi="Calibri" w:cs="Calibri"/>
          <w:iCs/>
          <w:sz w:val="22"/>
          <w:szCs w:val="22"/>
        </w:rPr>
        <w:t>u odnosu na isto razdoblje 202</w:t>
      </w:r>
      <w:r w:rsidR="0046574A">
        <w:rPr>
          <w:rFonts w:ascii="Calibri" w:hAnsi="Calibri" w:cs="Calibri"/>
          <w:iCs/>
          <w:sz w:val="22"/>
          <w:szCs w:val="22"/>
        </w:rPr>
        <w:t>3</w:t>
      </w:r>
      <w:r w:rsidR="00081D68">
        <w:rPr>
          <w:rFonts w:ascii="Calibri" w:hAnsi="Calibri" w:cs="Calibri"/>
          <w:iCs/>
          <w:sz w:val="22"/>
          <w:szCs w:val="22"/>
        </w:rPr>
        <w:t>. godine.</w:t>
      </w:r>
    </w:p>
    <w:p w:rsidR="00E92C6B" w:rsidRPr="00E92C6B" w:rsidRDefault="00E92C6B" w:rsidP="00647CD1">
      <w:pPr>
        <w:spacing w:after="0" w:line="276" w:lineRule="auto"/>
        <w:ind w:left="360"/>
        <w:jc w:val="both"/>
        <w:rPr>
          <w:rFonts w:cstheme="minorHAnsi"/>
          <w:iCs/>
        </w:rPr>
      </w:pPr>
      <w:r w:rsidRPr="00E92C6B">
        <w:rPr>
          <w:rFonts w:cstheme="minorHAnsi"/>
          <w:iCs/>
        </w:rPr>
        <w:t xml:space="preserve">radi većeg broja </w:t>
      </w:r>
      <w:r w:rsidR="002E68CD">
        <w:rPr>
          <w:rFonts w:cstheme="minorHAnsi"/>
          <w:iCs/>
        </w:rPr>
        <w:t>obveznika po ugovorima o zakupu poslovnih prostora i naknada za korištenje javno – prometnih površina</w:t>
      </w:r>
      <w:r w:rsidRPr="00E92C6B">
        <w:rPr>
          <w:rFonts w:cstheme="minorHAnsi"/>
          <w:iCs/>
        </w:rPr>
        <w:t>.</w:t>
      </w:r>
    </w:p>
    <w:p w:rsidR="00081D68" w:rsidRDefault="005B45C2" w:rsidP="00647CD1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>PRIHODI OD ADMINISTARTIVNIH PRISTOJBI I PRISTOJBI PO POSEBNIM PROPISIMA (šifra 65)</w:t>
      </w:r>
      <w:r w:rsidR="00081D68"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081D68" w:rsidRPr="00081D68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BD55D0" w:rsidRPr="00287B96">
        <w:rPr>
          <w:rFonts w:ascii="Calibri" w:hAnsi="Calibri" w:cs="Calibri"/>
          <w:iCs/>
          <w:sz w:val="22"/>
          <w:szCs w:val="22"/>
        </w:rPr>
        <w:t>995.261,04</w:t>
      </w:r>
      <w:r w:rsidR="00647CD1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081D68">
        <w:rPr>
          <w:rFonts w:ascii="Calibri" w:hAnsi="Calibri" w:cs="Calibri"/>
          <w:iCs/>
          <w:sz w:val="22"/>
          <w:szCs w:val="22"/>
        </w:rPr>
        <w:t xml:space="preserve"> što predstavlja ostvarenje od </w:t>
      </w:r>
      <w:r w:rsidR="00BD55D0">
        <w:rPr>
          <w:rFonts w:ascii="Calibri" w:hAnsi="Calibri" w:cs="Calibri"/>
          <w:iCs/>
          <w:sz w:val="22"/>
          <w:szCs w:val="22"/>
        </w:rPr>
        <w:t>97</w:t>
      </w:r>
      <w:r w:rsidR="00081D68">
        <w:rPr>
          <w:rFonts w:ascii="Calibri" w:hAnsi="Calibri" w:cs="Calibri"/>
          <w:iCs/>
          <w:sz w:val="22"/>
          <w:szCs w:val="22"/>
        </w:rPr>
        <w:t>% u odnosu na plan</w:t>
      </w:r>
      <w:r w:rsidR="00434527">
        <w:rPr>
          <w:rFonts w:ascii="Calibri" w:hAnsi="Calibri" w:cs="Calibri"/>
          <w:iCs/>
          <w:sz w:val="22"/>
          <w:szCs w:val="22"/>
        </w:rPr>
        <w:t xml:space="preserve"> i </w:t>
      </w:r>
      <w:r w:rsidR="00BD55D0">
        <w:rPr>
          <w:rFonts w:ascii="Calibri" w:hAnsi="Calibri" w:cs="Calibri"/>
          <w:iCs/>
          <w:sz w:val="22"/>
          <w:szCs w:val="22"/>
        </w:rPr>
        <w:t>smanjenje</w:t>
      </w:r>
      <w:r w:rsidR="00647CD1">
        <w:rPr>
          <w:rFonts w:ascii="Calibri" w:hAnsi="Calibri" w:cs="Calibri"/>
          <w:iCs/>
          <w:sz w:val="22"/>
          <w:szCs w:val="22"/>
        </w:rPr>
        <w:t xml:space="preserve"> od </w:t>
      </w:r>
      <w:r w:rsidR="00BD55D0">
        <w:rPr>
          <w:rFonts w:ascii="Calibri" w:hAnsi="Calibri" w:cs="Calibri"/>
          <w:iCs/>
          <w:sz w:val="22"/>
          <w:szCs w:val="22"/>
        </w:rPr>
        <w:t>19,4</w:t>
      </w:r>
      <w:r w:rsidR="0076773F">
        <w:rPr>
          <w:rFonts w:ascii="Calibri" w:hAnsi="Calibri" w:cs="Calibri"/>
          <w:iCs/>
          <w:sz w:val="22"/>
          <w:szCs w:val="22"/>
        </w:rPr>
        <w:t>%</w:t>
      </w:r>
      <w:r w:rsidR="00434527">
        <w:rPr>
          <w:rFonts w:ascii="Calibri" w:hAnsi="Calibri" w:cs="Calibri"/>
          <w:iCs/>
          <w:sz w:val="22"/>
          <w:szCs w:val="22"/>
        </w:rPr>
        <w:t xml:space="preserve"> </w:t>
      </w:r>
      <w:r w:rsidR="00B66ACB">
        <w:rPr>
          <w:rFonts w:ascii="Calibri" w:hAnsi="Calibri" w:cs="Calibri"/>
          <w:iCs/>
          <w:sz w:val="22"/>
          <w:szCs w:val="22"/>
        </w:rPr>
        <w:t>u odnosu na isto razdoblje 202</w:t>
      </w:r>
      <w:r w:rsidR="00BD55D0">
        <w:rPr>
          <w:rFonts w:ascii="Calibri" w:hAnsi="Calibri" w:cs="Calibri"/>
          <w:iCs/>
          <w:sz w:val="22"/>
          <w:szCs w:val="22"/>
        </w:rPr>
        <w:t>3. godine radi manjeg broja izdanih rješenja po osnovu obračuna komunalnog doprinosa.</w:t>
      </w:r>
    </w:p>
    <w:p w:rsidR="0076773F" w:rsidRDefault="00D25A96" w:rsidP="00647CD1">
      <w:pPr>
        <w:pStyle w:val="Tijeloteksta"/>
        <w:spacing w:line="276" w:lineRule="auto"/>
        <w:ind w:left="360"/>
        <w:rPr>
          <w:rFonts w:asciiTheme="minorHAnsi" w:hAnsiTheme="minorHAnsi" w:cstheme="minorHAnsi"/>
          <w:iCs/>
        </w:rPr>
      </w:pPr>
      <w:r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>PRIHODI OD PRODAJE ROBA I PRUŽENIH USLUGA (šifra 66)</w:t>
      </w:r>
      <w:r w:rsidRPr="003C37F8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– 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ostvareni su u izvještajnom razdoblju u iznosu od </w:t>
      </w:r>
      <w:r w:rsidR="002673A8" w:rsidRPr="00287B96">
        <w:rPr>
          <w:rFonts w:asciiTheme="minorHAnsi" w:hAnsiTheme="minorHAnsi" w:cstheme="minorHAnsi"/>
          <w:iCs/>
          <w:sz w:val="22"/>
          <w:szCs w:val="22"/>
        </w:rPr>
        <w:t>21.854,98</w:t>
      </w:r>
      <w:r w:rsidR="0076773F" w:rsidRPr="00287B96">
        <w:rPr>
          <w:rFonts w:asciiTheme="minorHAnsi" w:hAnsiTheme="minorHAnsi" w:cstheme="minorHAnsi"/>
          <w:iCs/>
          <w:sz w:val="22"/>
          <w:szCs w:val="22"/>
        </w:rPr>
        <w:t xml:space="preserve"> eura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 što predstavlja ostvarenje od </w:t>
      </w:r>
      <w:r w:rsidR="002673A8">
        <w:rPr>
          <w:rFonts w:asciiTheme="minorHAnsi" w:hAnsiTheme="minorHAnsi" w:cstheme="minorHAnsi"/>
          <w:iCs/>
          <w:sz w:val="22"/>
          <w:szCs w:val="22"/>
        </w:rPr>
        <w:t>97,1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% u odnosu na plan i </w:t>
      </w:r>
      <w:r w:rsidR="002673A8">
        <w:rPr>
          <w:rFonts w:asciiTheme="minorHAnsi" w:hAnsiTheme="minorHAnsi" w:cstheme="minorHAnsi"/>
          <w:iCs/>
          <w:sz w:val="22"/>
          <w:szCs w:val="22"/>
        </w:rPr>
        <w:t>povećanje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 od </w:t>
      </w:r>
      <w:r w:rsidR="002673A8">
        <w:rPr>
          <w:rFonts w:asciiTheme="minorHAnsi" w:hAnsiTheme="minorHAnsi" w:cstheme="minorHAnsi"/>
          <w:iCs/>
          <w:sz w:val="22"/>
          <w:szCs w:val="22"/>
        </w:rPr>
        <w:t>25,7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>% u odnosu na isto izvještajno razdoblje 202</w:t>
      </w:r>
      <w:r w:rsidR="002673A8">
        <w:rPr>
          <w:rFonts w:asciiTheme="minorHAnsi" w:hAnsiTheme="minorHAnsi" w:cstheme="minorHAnsi"/>
          <w:iCs/>
          <w:sz w:val="22"/>
          <w:szCs w:val="22"/>
        </w:rPr>
        <w:t>3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. godine, a odnose se na prihode za obračun usluge </w:t>
      </w:r>
      <w:r w:rsidR="002673A8">
        <w:rPr>
          <w:rFonts w:asciiTheme="minorHAnsi" w:hAnsiTheme="minorHAnsi" w:cstheme="minorHAnsi"/>
          <w:iCs/>
          <w:sz w:val="22"/>
          <w:szCs w:val="22"/>
        </w:rPr>
        <w:t xml:space="preserve">obračuna i </w:t>
      </w:r>
      <w:r w:rsidR="0076773F" w:rsidRPr="0076773F">
        <w:rPr>
          <w:rFonts w:asciiTheme="minorHAnsi" w:hAnsiTheme="minorHAnsi" w:cstheme="minorHAnsi"/>
          <w:iCs/>
          <w:sz w:val="22"/>
          <w:szCs w:val="22"/>
        </w:rPr>
        <w:t xml:space="preserve">naplate naknade za uređenje voda </w:t>
      </w:r>
      <w:r w:rsidR="0076773F" w:rsidRPr="0076773F">
        <w:rPr>
          <w:rFonts w:asciiTheme="minorHAnsi" w:hAnsiTheme="minorHAnsi" w:cstheme="minorHAnsi"/>
          <w:i/>
          <w:iCs/>
          <w:sz w:val="22"/>
          <w:szCs w:val="22"/>
        </w:rPr>
        <w:t>(Ugovor sa Hrvatskim vodama o obavljanju poslova u svezi s obračunom i naplatom naknade)</w:t>
      </w:r>
      <w:r w:rsidR="002673A8">
        <w:rPr>
          <w:rFonts w:asciiTheme="minorHAnsi" w:hAnsiTheme="minorHAnsi" w:cstheme="minorHAnsi"/>
          <w:iCs/>
          <w:sz w:val="22"/>
          <w:szCs w:val="22"/>
        </w:rPr>
        <w:t>.</w:t>
      </w:r>
    </w:p>
    <w:p w:rsidR="0091131A" w:rsidRPr="000C1DDF" w:rsidRDefault="0051518E" w:rsidP="00647CD1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>PRIHODI OD KAZNI, UPRAVNIH MJERA I OSTALI PRIHODI</w:t>
      </w:r>
      <w:r w:rsidR="009817F3" w:rsidRPr="003C37F8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(šifra 68)</w:t>
      </w:r>
      <w:r w:rsidR="009817F3" w:rsidRPr="003C37F8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 w:rsidR="009817F3">
        <w:rPr>
          <w:rFonts w:ascii="Calibri" w:hAnsi="Calibri" w:cs="Calibri"/>
          <w:iCs/>
          <w:sz w:val="22"/>
          <w:szCs w:val="22"/>
        </w:rPr>
        <w:t xml:space="preserve">– ostvareni su u iznosu od </w:t>
      </w:r>
      <w:r w:rsidR="002673A8" w:rsidRPr="00287B96">
        <w:rPr>
          <w:rFonts w:ascii="Calibri" w:hAnsi="Calibri" w:cs="Calibri"/>
          <w:iCs/>
          <w:sz w:val="22"/>
          <w:szCs w:val="22"/>
        </w:rPr>
        <w:t>33.836,41 eura</w:t>
      </w:r>
      <w:r w:rsidR="009817F3">
        <w:rPr>
          <w:rFonts w:ascii="Calibri" w:hAnsi="Calibri" w:cs="Calibri"/>
          <w:iCs/>
          <w:sz w:val="22"/>
          <w:szCs w:val="22"/>
        </w:rPr>
        <w:t xml:space="preserve"> što predstavlja ostvarenje od </w:t>
      </w:r>
      <w:r w:rsidR="002673A8">
        <w:rPr>
          <w:rFonts w:ascii="Calibri" w:hAnsi="Calibri" w:cs="Calibri"/>
          <w:iCs/>
          <w:sz w:val="22"/>
          <w:szCs w:val="22"/>
        </w:rPr>
        <w:t>413,8</w:t>
      </w:r>
      <w:r w:rsidR="00474601">
        <w:rPr>
          <w:rFonts w:ascii="Calibri" w:hAnsi="Calibri" w:cs="Calibri"/>
          <w:iCs/>
          <w:sz w:val="22"/>
          <w:szCs w:val="22"/>
        </w:rPr>
        <w:t>% u odnosu na planirano</w:t>
      </w:r>
      <w:r w:rsidR="00A76CDC">
        <w:rPr>
          <w:rFonts w:ascii="Calibri" w:hAnsi="Calibri" w:cs="Calibri"/>
          <w:iCs/>
          <w:sz w:val="22"/>
          <w:szCs w:val="22"/>
        </w:rPr>
        <w:t xml:space="preserve"> i povećanje od </w:t>
      </w:r>
      <w:r w:rsidR="002673A8">
        <w:rPr>
          <w:rFonts w:ascii="Calibri" w:hAnsi="Calibri" w:cs="Calibri"/>
          <w:iCs/>
          <w:sz w:val="22"/>
          <w:szCs w:val="22"/>
        </w:rPr>
        <w:t>736,8</w:t>
      </w:r>
      <w:r w:rsidR="00A76CDC">
        <w:rPr>
          <w:rFonts w:ascii="Calibri" w:hAnsi="Calibri" w:cs="Calibri"/>
          <w:iCs/>
          <w:sz w:val="22"/>
          <w:szCs w:val="22"/>
        </w:rPr>
        <w:t>% u odnosu na isto izvještajno razdoblje 202</w:t>
      </w:r>
      <w:r w:rsidR="002673A8">
        <w:rPr>
          <w:rFonts w:ascii="Calibri" w:hAnsi="Calibri" w:cs="Calibri"/>
          <w:iCs/>
          <w:sz w:val="22"/>
          <w:szCs w:val="22"/>
        </w:rPr>
        <w:t>3</w:t>
      </w:r>
      <w:r w:rsidR="00A76CDC">
        <w:rPr>
          <w:rFonts w:ascii="Calibri" w:hAnsi="Calibri" w:cs="Calibri"/>
          <w:iCs/>
          <w:sz w:val="22"/>
          <w:szCs w:val="22"/>
        </w:rPr>
        <w:t>. godine</w:t>
      </w:r>
      <w:r w:rsidR="00474601">
        <w:rPr>
          <w:rFonts w:ascii="Calibri" w:hAnsi="Calibri" w:cs="Calibri"/>
          <w:iCs/>
          <w:sz w:val="22"/>
          <w:szCs w:val="22"/>
        </w:rPr>
        <w:t xml:space="preserve">, a odnose se na prihode od kazni za nepropisno parkiranje u iznosu od </w:t>
      </w:r>
      <w:r w:rsidR="002673A8">
        <w:rPr>
          <w:rFonts w:ascii="Calibri" w:hAnsi="Calibri" w:cs="Calibri"/>
          <w:iCs/>
          <w:sz w:val="22"/>
          <w:szCs w:val="22"/>
        </w:rPr>
        <w:t>1.290</w:t>
      </w:r>
      <w:r w:rsidR="00A76CDC">
        <w:rPr>
          <w:rFonts w:ascii="Calibri" w:hAnsi="Calibri" w:cs="Calibri"/>
          <w:iCs/>
          <w:sz w:val="22"/>
          <w:szCs w:val="22"/>
        </w:rPr>
        <w:t>,00 eura</w:t>
      </w:r>
      <w:r w:rsidR="002673A8">
        <w:rPr>
          <w:rFonts w:ascii="Calibri" w:hAnsi="Calibri" w:cs="Calibri"/>
          <w:iCs/>
          <w:sz w:val="22"/>
          <w:szCs w:val="22"/>
        </w:rPr>
        <w:t>,</w:t>
      </w:r>
      <w:r w:rsidR="00474601">
        <w:rPr>
          <w:rFonts w:ascii="Calibri" w:hAnsi="Calibri" w:cs="Calibri"/>
          <w:iCs/>
          <w:sz w:val="22"/>
          <w:szCs w:val="22"/>
        </w:rPr>
        <w:t xml:space="preserve"> na prihode od suglasnosti za prekop javne površine</w:t>
      </w:r>
      <w:r w:rsidR="00A76CDC">
        <w:rPr>
          <w:rFonts w:ascii="Calibri" w:hAnsi="Calibri" w:cs="Calibri"/>
          <w:iCs/>
          <w:sz w:val="22"/>
          <w:szCs w:val="22"/>
        </w:rPr>
        <w:t xml:space="preserve"> u iznosu </w:t>
      </w:r>
      <w:r w:rsidR="00A76CDC">
        <w:rPr>
          <w:rFonts w:ascii="Calibri" w:hAnsi="Calibri" w:cs="Calibri"/>
          <w:iCs/>
          <w:sz w:val="22"/>
          <w:szCs w:val="22"/>
        </w:rPr>
        <w:lastRenderedPageBreak/>
        <w:t xml:space="preserve">od </w:t>
      </w:r>
      <w:r w:rsidR="002673A8">
        <w:rPr>
          <w:rFonts w:ascii="Calibri" w:hAnsi="Calibri" w:cs="Calibri"/>
          <w:iCs/>
          <w:sz w:val="22"/>
          <w:szCs w:val="22"/>
        </w:rPr>
        <w:t xml:space="preserve">713,02 eura te na ostale prihode u iznosu od 31.833,39 eura koji se odnose na dvije neprepoznate uplate od 30.000,00 eura </w:t>
      </w:r>
      <w:r w:rsidR="005E3555">
        <w:rPr>
          <w:rFonts w:ascii="Calibri" w:hAnsi="Calibri" w:cs="Calibri"/>
          <w:iCs/>
          <w:sz w:val="22"/>
          <w:szCs w:val="22"/>
        </w:rPr>
        <w:t xml:space="preserve">za </w:t>
      </w:r>
      <w:r w:rsidR="002673A8">
        <w:rPr>
          <w:rFonts w:ascii="Calibri" w:hAnsi="Calibri" w:cs="Calibri"/>
          <w:iCs/>
          <w:sz w:val="22"/>
          <w:szCs w:val="22"/>
        </w:rPr>
        <w:t xml:space="preserve">koje će se </w:t>
      </w:r>
      <w:r w:rsidR="005E3555">
        <w:rPr>
          <w:rFonts w:ascii="Calibri" w:hAnsi="Calibri" w:cs="Calibri"/>
          <w:iCs/>
          <w:sz w:val="22"/>
          <w:szCs w:val="22"/>
        </w:rPr>
        <w:t xml:space="preserve">izvršiti </w:t>
      </w:r>
      <w:r w:rsidR="002673A8">
        <w:rPr>
          <w:rFonts w:ascii="Calibri" w:hAnsi="Calibri" w:cs="Calibri"/>
          <w:iCs/>
          <w:sz w:val="22"/>
          <w:szCs w:val="22"/>
        </w:rPr>
        <w:t>preknjiž</w:t>
      </w:r>
      <w:r w:rsidR="005E3555">
        <w:rPr>
          <w:rFonts w:ascii="Calibri" w:hAnsi="Calibri" w:cs="Calibri"/>
          <w:iCs/>
          <w:sz w:val="22"/>
          <w:szCs w:val="22"/>
        </w:rPr>
        <w:t>enje</w:t>
      </w:r>
      <w:r w:rsidR="002673A8">
        <w:rPr>
          <w:rFonts w:ascii="Calibri" w:hAnsi="Calibri" w:cs="Calibri"/>
          <w:iCs/>
          <w:sz w:val="22"/>
          <w:szCs w:val="22"/>
        </w:rPr>
        <w:t xml:space="preserve"> u 2025. godini</w:t>
      </w:r>
      <w:r w:rsidR="005E3555">
        <w:rPr>
          <w:rFonts w:ascii="Calibri" w:hAnsi="Calibri" w:cs="Calibri"/>
          <w:iCs/>
          <w:sz w:val="22"/>
          <w:szCs w:val="22"/>
        </w:rPr>
        <w:t>.</w:t>
      </w:r>
    </w:p>
    <w:p w:rsidR="009817F3" w:rsidRDefault="00007880" w:rsidP="00F966A0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D7C10">
        <w:rPr>
          <w:rFonts w:ascii="Calibri" w:hAnsi="Calibri" w:cs="Calibri"/>
          <w:b/>
          <w:iCs/>
          <w:sz w:val="22"/>
          <w:szCs w:val="22"/>
        </w:rPr>
        <w:t xml:space="preserve">PRIHODI OD PRODAJE NEFINANCIJSKE IMOVINE (ŠIFRA 7) </w:t>
      </w:r>
      <w:r>
        <w:rPr>
          <w:rFonts w:ascii="Calibri" w:hAnsi="Calibri" w:cs="Calibri"/>
          <w:iCs/>
          <w:sz w:val="22"/>
          <w:szCs w:val="22"/>
        </w:rPr>
        <w:t xml:space="preserve">– </w:t>
      </w:r>
      <w:r w:rsidR="005519A5">
        <w:rPr>
          <w:rFonts w:ascii="Calibri" w:hAnsi="Calibri" w:cs="Calibri"/>
          <w:iCs/>
          <w:sz w:val="22"/>
          <w:szCs w:val="22"/>
        </w:rPr>
        <w:t xml:space="preserve">u razdoblju I-XII/2024, </w:t>
      </w:r>
      <w:r>
        <w:rPr>
          <w:rFonts w:ascii="Calibri" w:hAnsi="Calibri" w:cs="Calibri"/>
          <w:iCs/>
          <w:sz w:val="22"/>
          <w:szCs w:val="22"/>
        </w:rPr>
        <w:t xml:space="preserve">ostvareni su u iznosu od </w:t>
      </w:r>
      <w:r w:rsidR="00B77DDB">
        <w:rPr>
          <w:rFonts w:ascii="Calibri" w:hAnsi="Calibri" w:cs="Calibri"/>
          <w:b/>
          <w:iCs/>
          <w:sz w:val="22"/>
          <w:szCs w:val="22"/>
        </w:rPr>
        <w:t>315.589,34</w:t>
      </w:r>
      <w:r w:rsidR="00B06B2B">
        <w:rPr>
          <w:rFonts w:ascii="Calibri" w:hAnsi="Calibri" w:cs="Calibri"/>
          <w:b/>
          <w:iCs/>
          <w:sz w:val="22"/>
          <w:szCs w:val="22"/>
        </w:rPr>
        <w:t xml:space="preserve"> eura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="00F4436A">
        <w:rPr>
          <w:rFonts w:ascii="Calibri" w:hAnsi="Calibri" w:cs="Calibri"/>
          <w:iCs/>
          <w:sz w:val="22"/>
          <w:szCs w:val="22"/>
        </w:rPr>
        <w:t xml:space="preserve">Odnose se na prihode za kupnju </w:t>
      </w:r>
      <w:r w:rsidR="00B06B2B">
        <w:rPr>
          <w:rFonts w:ascii="Calibri" w:hAnsi="Calibri" w:cs="Calibri"/>
          <w:iCs/>
          <w:sz w:val="22"/>
          <w:szCs w:val="22"/>
        </w:rPr>
        <w:t>grobnih mjesta na novom groblju u Preku</w:t>
      </w:r>
      <w:r w:rsidR="00F4436A">
        <w:rPr>
          <w:rFonts w:ascii="Calibri" w:hAnsi="Calibri" w:cs="Calibri"/>
          <w:iCs/>
          <w:sz w:val="22"/>
          <w:szCs w:val="22"/>
        </w:rPr>
        <w:t xml:space="preserve"> u iznosu od </w:t>
      </w:r>
      <w:r w:rsidR="00B77DDB">
        <w:rPr>
          <w:rFonts w:ascii="Calibri" w:hAnsi="Calibri" w:cs="Calibri"/>
          <w:iCs/>
          <w:sz w:val="22"/>
          <w:szCs w:val="22"/>
        </w:rPr>
        <w:t>315.589,34</w:t>
      </w:r>
      <w:r w:rsidR="00B06B2B">
        <w:rPr>
          <w:rFonts w:ascii="Calibri" w:hAnsi="Calibri" w:cs="Calibri"/>
          <w:iCs/>
          <w:sz w:val="22"/>
          <w:szCs w:val="22"/>
        </w:rPr>
        <w:t xml:space="preserve"> eura</w:t>
      </w:r>
      <w:r w:rsidR="00F4436A">
        <w:rPr>
          <w:rFonts w:ascii="Calibri" w:hAnsi="Calibri" w:cs="Calibri"/>
          <w:iCs/>
          <w:sz w:val="22"/>
          <w:szCs w:val="22"/>
        </w:rPr>
        <w:t>.</w:t>
      </w:r>
    </w:p>
    <w:p w:rsidR="00505C6E" w:rsidRPr="00505C6E" w:rsidRDefault="00505C6E" w:rsidP="00505C6E">
      <w:pPr>
        <w:pStyle w:val="Bezproreda"/>
        <w:spacing w:line="276" w:lineRule="auto"/>
        <w:ind w:left="360"/>
        <w:jc w:val="both"/>
        <w:rPr>
          <w:rFonts w:cstheme="minorHAnsi"/>
        </w:rPr>
      </w:pPr>
      <w:r w:rsidRPr="005519A5">
        <w:rPr>
          <w:rFonts w:ascii="Calibri" w:hAnsi="Calibri" w:cs="Calibri"/>
          <w:b/>
          <w:iCs/>
        </w:rPr>
        <w:t>PRIMICI OD FINANCIJSKE IMOVINE I ZADUŽIVANJA (ŠIFRA 8)</w:t>
      </w:r>
      <w:r>
        <w:rPr>
          <w:rFonts w:ascii="Calibri" w:hAnsi="Calibri" w:cs="Calibri"/>
          <w:iCs/>
        </w:rPr>
        <w:t xml:space="preserve"> – u razdoblju I-XII/2024, ostvareni su u iznosu od </w:t>
      </w:r>
      <w:r w:rsidRPr="00A8176F">
        <w:rPr>
          <w:rFonts w:ascii="Calibri" w:hAnsi="Calibri" w:cs="Calibri"/>
          <w:b/>
          <w:iCs/>
        </w:rPr>
        <w:t>623.880,64 eura</w:t>
      </w:r>
      <w:r>
        <w:rPr>
          <w:rFonts w:ascii="Calibri" w:hAnsi="Calibri" w:cs="Calibri"/>
          <w:iCs/>
        </w:rPr>
        <w:t xml:space="preserve">, </w:t>
      </w:r>
      <w:r w:rsidRPr="00505C6E">
        <w:rPr>
          <w:rFonts w:cstheme="minorHAnsi"/>
        </w:rPr>
        <w:t xml:space="preserve">a odnose se na iskorišteni dio dugoročnog kredita odobrenog od Privredne banke Zagreb d.d. u iznosu od 663.614,00 eura za čije odobrenje je Općina Preko tražila i dobila suglasnost Vlade RH 19. listopada 2023. za izgradnju novog mjesnog groblja u Preku. </w:t>
      </w:r>
    </w:p>
    <w:p w:rsidR="00325784" w:rsidRDefault="00325784" w:rsidP="009817F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Default="009817F3" w:rsidP="009817F3">
      <w:pPr>
        <w:pStyle w:val="Tijeloteksta"/>
        <w:ind w:left="360"/>
        <w:rPr>
          <w:rFonts w:ascii="Calibri" w:hAnsi="Calibri" w:cs="Calibri"/>
          <w:b/>
          <w:iCs/>
          <w:sz w:val="22"/>
          <w:szCs w:val="22"/>
        </w:rPr>
      </w:pPr>
      <w:r w:rsidRPr="009817F3">
        <w:rPr>
          <w:rFonts w:ascii="Calibri" w:hAnsi="Calibri" w:cs="Calibri"/>
          <w:b/>
          <w:iCs/>
          <w:sz w:val="22"/>
          <w:szCs w:val="22"/>
        </w:rPr>
        <w:t>RASHODI I IZDACI</w:t>
      </w:r>
    </w:p>
    <w:p w:rsidR="00592A6D" w:rsidRDefault="00592A6D" w:rsidP="009817F3">
      <w:pPr>
        <w:pStyle w:val="Tijeloteksta"/>
        <w:ind w:left="360"/>
        <w:rPr>
          <w:rFonts w:ascii="Calibri" w:hAnsi="Calibri" w:cs="Calibri"/>
          <w:b/>
          <w:iCs/>
          <w:sz w:val="22"/>
          <w:szCs w:val="22"/>
        </w:rPr>
      </w:pPr>
    </w:p>
    <w:p w:rsidR="00592A6D" w:rsidRDefault="00007880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456DCE">
        <w:rPr>
          <w:rFonts w:ascii="Calibri" w:hAnsi="Calibri" w:cs="Calibri"/>
          <w:b/>
          <w:iCs/>
          <w:sz w:val="22"/>
          <w:szCs w:val="22"/>
        </w:rPr>
        <w:t>RASHODI POSLOVANJA</w:t>
      </w:r>
      <w:r w:rsidR="00470A32" w:rsidRPr="00456DCE">
        <w:rPr>
          <w:rFonts w:ascii="Calibri" w:hAnsi="Calibri" w:cs="Calibri"/>
          <w:b/>
          <w:iCs/>
          <w:sz w:val="22"/>
          <w:szCs w:val="22"/>
        </w:rPr>
        <w:t xml:space="preserve"> (</w:t>
      </w:r>
      <w:r w:rsidR="00F87562" w:rsidRPr="00456DCE">
        <w:rPr>
          <w:rFonts w:ascii="Calibri" w:hAnsi="Calibri" w:cs="Calibri"/>
          <w:b/>
          <w:iCs/>
          <w:sz w:val="22"/>
          <w:szCs w:val="22"/>
        </w:rPr>
        <w:t>šifra</w:t>
      </w:r>
      <w:r w:rsidR="00470A32" w:rsidRPr="00456DCE">
        <w:rPr>
          <w:rFonts w:ascii="Calibri" w:hAnsi="Calibri" w:cs="Calibri"/>
          <w:b/>
          <w:iCs/>
          <w:sz w:val="22"/>
          <w:szCs w:val="22"/>
        </w:rPr>
        <w:t xml:space="preserve"> 3)</w:t>
      </w:r>
      <w:r w:rsidR="00592A6D" w:rsidRPr="00456DCE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592A6D" w:rsidRPr="00592A6D">
        <w:rPr>
          <w:rFonts w:ascii="Calibri" w:hAnsi="Calibri" w:cs="Calibri"/>
          <w:iCs/>
          <w:sz w:val="22"/>
          <w:szCs w:val="22"/>
        </w:rPr>
        <w:t>– u razdoblju I-</w:t>
      </w:r>
      <w:r w:rsidR="008B1C5D">
        <w:rPr>
          <w:rFonts w:ascii="Calibri" w:hAnsi="Calibri" w:cs="Calibri"/>
          <w:iCs/>
          <w:sz w:val="22"/>
          <w:szCs w:val="22"/>
        </w:rPr>
        <w:t>XII</w:t>
      </w:r>
      <w:r w:rsidR="00592A6D" w:rsidRPr="00592A6D">
        <w:rPr>
          <w:rFonts w:ascii="Calibri" w:hAnsi="Calibri" w:cs="Calibri"/>
          <w:iCs/>
          <w:sz w:val="22"/>
          <w:szCs w:val="22"/>
        </w:rPr>
        <w:t>/202</w:t>
      </w:r>
      <w:r w:rsidR="00F966A0">
        <w:rPr>
          <w:rFonts w:ascii="Calibri" w:hAnsi="Calibri" w:cs="Calibri"/>
          <w:iCs/>
          <w:sz w:val="22"/>
          <w:szCs w:val="22"/>
        </w:rPr>
        <w:t>4</w:t>
      </w:r>
      <w:r w:rsidR="00592A6D">
        <w:rPr>
          <w:rFonts w:ascii="Calibri" w:hAnsi="Calibri" w:cs="Calibri"/>
          <w:iCs/>
          <w:sz w:val="22"/>
          <w:szCs w:val="22"/>
        </w:rPr>
        <w:t xml:space="preserve"> </w:t>
      </w:r>
      <w:r w:rsidR="0060619E">
        <w:rPr>
          <w:rFonts w:ascii="Calibri" w:hAnsi="Calibri" w:cs="Calibri"/>
          <w:iCs/>
          <w:sz w:val="22"/>
          <w:szCs w:val="22"/>
        </w:rPr>
        <w:t>izvršeni</w:t>
      </w:r>
      <w:r w:rsidR="00592A6D">
        <w:rPr>
          <w:rFonts w:ascii="Calibri" w:hAnsi="Calibri" w:cs="Calibri"/>
          <w:iCs/>
          <w:sz w:val="22"/>
          <w:szCs w:val="22"/>
        </w:rPr>
        <w:t xml:space="preserve"> su u iznosu od </w:t>
      </w:r>
      <w:r w:rsidR="00F966A0" w:rsidRPr="00287B96">
        <w:rPr>
          <w:rFonts w:ascii="Calibri" w:hAnsi="Calibri" w:cs="Calibri"/>
          <w:b/>
          <w:iCs/>
          <w:sz w:val="22"/>
          <w:szCs w:val="22"/>
        </w:rPr>
        <w:t>3.319.561,10</w:t>
      </w:r>
      <w:r w:rsidR="00325784" w:rsidRPr="00287B96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="00592A6D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592A6D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794AE5">
        <w:rPr>
          <w:rFonts w:ascii="Calibri" w:hAnsi="Calibri" w:cs="Calibri"/>
          <w:iCs/>
          <w:sz w:val="22"/>
          <w:szCs w:val="22"/>
        </w:rPr>
        <w:t>izvršenje</w:t>
      </w:r>
      <w:r w:rsidR="00592A6D">
        <w:rPr>
          <w:rFonts w:ascii="Calibri" w:hAnsi="Calibri" w:cs="Calibri"/>
          <w:iCs/>
          <w:sz w:val="22"/>
          <w:szCs w:val="22"/>
        </w:rPr>
        <w:t xml:space="preserve"> od </w:t>
      </w:r>
      <w:r w:rsidR="00F966A0">
        <w:rPr>
          <w:rFonts w:ascii="Calibri" w:hAnsi="Calibri" w:cs="Calibri"/>
          <w:iCs/>
          <w:sz w:val="22"/>
          <w:szCs w:val="22"/>
        </w:rPr>
        <w:t>90,3</w:t>
      </w:r>
      <w:r w:rsidR="00592A6D">
        <w:rPr>
          <w:rFonts w:ascii="Calibri" w:hAnsi="Calibri" w:cs="Calibri"/>
          <w:iCs/>
          <w:sz w:val="22"/>
          <w:szCs w:val="22"/>
        </w:rPr>
        <w:t>% planiranih rashoda poslovanja za 202</w:t>
      </w:r>
      <w:r w:rsidR="00F966A0">
        <w:rPr>
          <w:rFonts w:ascii="Calibri" w:hAnsi="Calibri" w:cs="Calibri"/>
          <w:iCs/>
          <w:sz w:val="22"/>
          <w:szCs w:val="22"/>
        </w:rPr>
        <w:t>4</w:t>
      </w:r>
      <w:r w:rsidR="00592A6D">
        <w:rPr>
          <w:rFonts w:ascii="Calibri" w:hAnsi="Calibri" w:cs="Calibri"/>
          <w:iCs/>
          <w:sz w:val="22"/>
          <w:szCs w:val="22"/>
        </w:rPr>
        <w:t>. godinu, a u odnosu na isto izvještajno razdoblje 202</w:t>
      </w:r>
      <w:r w:rsidR="00F966A0">
        <w:rPr>
          <w:rFonts w:ascii="Calibri" w:hAnsi="Calibri" w:cs="Calibri"/>
          <w:iCs/>
          <w:sz w:val="22"/>
          <w:szCs w:val="22"/>
        </w:rPr>
        <w:t>3</w:t>
      </w:r>
      <w:r w:rsidR="00592A6D">
        <w:rPr>
          <w:rFonts w:ascii="Calibri" w:hAnsi="Calibri" w:cs="Calibri"/>
          <w:iCs/>
          <w:sz w:val="22"/>
          <w:szCs w:val="22"/>
        </w:rPr>
        <w:t>. godine</w:t>
      </w:r>
      <w:r w:rsidR="00325784">
        <w:rPr>
          <w:rFonts w:ascii="Calibri" w:hAnsi="Calibri" w:cs="Calibri"/>
          <w:iCs/>
          <w:sz w:val="22"/>
          <w:szCs w:val="22"/>
        </w:rPr>
        <w:t xml:space="preserve"> povećanje od</w:t>
      </w:r>
      <w:r w:rsidR="00592A6D">
        <w:rPr>
          <w:rFonts w:ascii="Calibri" w:hAnsi="Calibri" w:cs="Calibri"/>
          <w:iCs/>
          <w:sz w:val="22"/>
          <w:szCs w:val="22"/>
        </w:rPr>
        <w:t xml:space="preserve"> </w:t>
      </w:r>
      <w:r w:rsidR="00F966A0">
        <w:rPr>
          <w:rFonts w:ascii="Calibri" w:hAnsi="Calibri" w:cs="Calibri"/>
          <w:iCs/>
          <w:sz w:val="22"/>
          <w:szCs w:val="22"/>
        </w:rPr>
        <w:t>16,3</w:t>
      </w:r>
      <w:r w:rsidR="006E2994">
        <w:rPr>
          <w:rFonts w:ascii="Calibri" w:hAnsi="Calibri" w:cs="Calibri"/>
          <w:iCs/>
          <w:sz w:val="22"/>
          <w:szCs w:val="22"/>
        </w:rPr>
        <w:t>%.</w:t>
      </w:r>
    </w:p>
    <w:p w:rsidR="006E2994" w:rsidRDefault="00456DCE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456DCE">
        <w:rPr>
          <w:rFonts w:ascii="Calibri" w:hAnsi="Calibri" w:cs="Calibri"/>
          <w:b/>
          <w:i/>
          <w:iCs/>
          <w:color w:val="0000FF"/>
          <w:sz w:val="22"/>
          <w:szCs w:val="22"/>
        </w:rPr>
        <w:t>RASHODI ZA ZAPOSLENE (šifra 31)</w:t>
      </w:r>
      <w:r w:rsidR="006E2994" w:rsidRPr="00456DCE">
        <w:rPr>
          <w:rFonts w:ascii="Calibri" w:hAnsi="Calibri" w:cs="Calibri"/>
          <w:b/>
          <w:iCs/>
          <w:color w:val="0000FF"/>
          <w:sz w:val="22"/>
          <w:szCs w:val="22"/>
        </w:rPr>
        <w:t xml:space="preserve"> </w:t>
      </w:r>
      <w:r w:rsidR="006E2994">
        <w:rPr>
          <w:rFonts w:ascii="Calibri" w:hAnsi="Calibri" w:cs="Calibri"/>
          <w:iCs/>
          <w:sz w:val="22"/>
          <w:szCs w:val="22"/>
        </w:rPr>
        <w:t xml:space="preserve">– </w:t>
      </w:r>
      <w:r w:rsidR="00794AE5">
        <w:rPr>
          <w:rFonts w:ascii="Calibri" w:hAnsi="Calibri" w:cs="Calibri"/>
          <w:iCs/>
          <w:sz w:val="22"/>
          <w:szCs w:val="22"/>
        </w:rPr>
        <w:t>izvršeni</w:t>
      </w:r>
      <w:r w:rsidR="006E2994">
        <w:rPr>
          <w:rFonts w:ascii="Calibri" w:hAnsi="Calibri" w:cs="Calibri"/>
          <w:iCs/>
          <w:sz w:val="22"/>
          <w:szCs w:val="22"/>
        </w:rPr>
        <w:t xml:space="preserve"> su u izvještajnom razdoblju u iznosu od </w:t>
      </w:r>
      <w:r w:rsidR="00F966A0" w:rsidRPr="00287B96">
        <w:rPr>
          <w:rFonts w:ascii="Calibri" w:hAnsi="Calibri" w:cs="Calibri"/>
          <w:iCs/>
          <w:sz w:val="22"/>
          <w:szCs w:val="22"/>
        </w:rPr>
        <w:t>412.293,34</w:t>
      </w:r>
      <w:r w:rsidR="00153E73"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6E2994">
        <w:rPr>
          <w:rFonts w:ascii="Calibri" w:hAnsi="Calibri" w:cs="Calibri"/>
          <w:iCs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794AE5">
        <w:rPr>
          <w:rFonts w:ascii="Calibri" w:hAnsi="Calibri" w:cs="Calibri"/>
          <w:iCs/>
          <w:sz w:val="22"/>
          <w:szCs w:val="22"/>
        </w:rPr>
        <w:t>izvršenje</w:t>
      </w:r>
      <w:r w:rsidR="00431C06">
        <w:rPr>
          <w:rFonts w:ascii="Calibri" w:hAnsi="Calibri" w:cs="Calibri"/>
          <w:iCs/>
          <w:sz w:val="22"/>
          <w:szCs w:val="22"/>
        </w:rPr>
        <w:t xml:space="preserve"> od </w:t>
      </w:r>
      <w:r w:rsidR="00F966A0">
        <w:rPr>
          <w:rFonts w:ascii="Calibri" w:hAnsi="Calibri" w:cs="Calibri"/>
          <w:iCs/>
          <w:sz w:val="22"/>
          <w:szCs w:val="22"/>
        </w:rPr>
        <w:t>93,5</w:t>
      </w:r>
      <w:r w:rsidR="00431C06">
        <w:rPr>
          <w:rFonts w:ascii="Calibri" w:hAnsi="Calibri" w:cs="Calibri"/>
          <w:iCs/>
          <w:sz w:val="22"/>
          <w:szCs w:val="22"/>
        </w:rPr>
        <w:t>% u odnosu na plan, a</w:t>
      </w:r>
      <w:r w:rsidR="006E2994">
        <w:rPr>
          <w:rFonts w:ascii="Calibri" w:hAnsi="Calibri" w:cs="Calibri"/>
          <w:iCs/>
          <w:sz w:val="22"/>
          <w:szCs w:val="22"/>
        </w:rPr>
        <w:t xml:space="preserve"> </w:t>
      </w:r>
      <w:r w:rsidR="00F547C3">
        <w:rPr>
          <w:rFonts w:ascii="Calibri" w:hAnsi="Calibri" w:cs="Calibri"/>
          <w:iCs/>
          <w:sz w:val="22"/>
          <w:szCs w:val="22"/>
        </w:rPr>
        <w:t>veći</w:t>
      </w:r>
      <w:r w:rsidR="006E2994">
        <w:rPr>
          <w:rFonts w:ascii="Calibri" w:hAnsi="Calibri" w:cs="Calibri"/>
          <w:iCs/>
          <w:sz w:val="22"/>
          <w:szCs w:val="22"/>
        </w:rPr>
        <w:t xml:space="preserve"> su za </w:t>
      </w:r>
      <w:r w:rsidR="00F966A0">
        <w:rPr>
          <w:rFonts w:ascii="Calibri" w:hAnsi="Calibri" w:cs="Calibri"/>
          <w:iCs/>
          <w:sz w:val="22"/>
          <w:szCs w:val="22"/>
        </w:rPr>
        <w:t>20,5</w:t>
      </w:r>
      <w:r w:rsidR="006E2994">
        <w:rPr>
          <w:rFonts w:ascii="Calibri" w:hAnsi="Calibri" w:cs="Calibri"/>
          <w:iCs/>
          <w:sz w:val="22"/>
          <w:szCs w:val="22"/>
        </w:rPr>
        <w:t>% u odnosu na isto razdoblje 202</w:t>
      </w:r>
      <w:r w:rsidR="00F966A0">
        <w:rPr>
          <w:rFonts w:ascii="Calibri" w:hAnsi="Calibri" w:cs="Calibri"/>
          <w:iCs/>
          <w:sz w:val="22"/>
          <w:szCs w:val="22"/>
        </w:rPr>
        <w:t>3</w:t>
      </w:r>
      <w:r w:rsidR="006E2994">
        <w:rPr>
          <w:rFonts w:ascii="Calibri" w:hAnsi="Calibri" w:cs="Calibri"/>
          <w:iCs/>
          <w:sz w:val="22"/>
          <w:szCs w:val="22"/>
        </w:rPr>
        <w:t>. godine</w:t>
      </w:r>
      <w:r w:rsidR="004A33E9">
        <w:rPr>
          <w:rFonts w:ascii="Calibri" w:hAnsi="Calibri" w:cs="Calibri"/>
          <w:iCs/>
          <w:sz w:val="22"/>
          <w:szCs w:val="22"/>
        </w:rPr>
        <w:t xml:space="preserve"> </w:t>
      </w:r>
      <w:r w:rsidR="00B77D1C" w:rsidRPr="00B77D1C">
        <w:rPr>
          <w:rFonts w:asciiTheme="minorHAnsi" w:hAnsiTheme="minorHAnsi" w:cstheme="minorHAnsi"/>
          <w:iCs/>
          <w:sz w:val="22"/>
          <w:szCs w:val="22"/>
        </w:rPr>
        <w:t>radi povećanja osnovice za obračun plaća prema Odluci Vlade RH od 1.10.202</w:t>
      </w:r>
      <w:r w:rsidR="00F966A0">
        <w:rPr>
          <w:rFonts w:asciiTheme="minorHAnsi" w:hAnsiTheme="minorHAnsi" w:cstheme="minorHAnsi"/>
          <w:iCs/>
          <w:sz w:val="22"/>
          <w:szCs w:val="22"/>
        </w:rPr>
        <w:t>3</w:t>
      </w:r>
      <w:r w:rsidR="00B77D1C" w:rsidRPr="00B77D1C">
        <w:rPr>
          <w:rFonts w:asciiTheme="minorHAnsi" w:hAnsiTheme="minorHAnsi" w:cstheme="minorHAnsi"/>
          <w:iCs/>
          <w:sz w:val="22"/>
          <w:szCs w:val="22"/>
        </w:rPr>
        <w:t>. godine</w:t>
      </w:r>
      <w:r w:rsidR="00B77D1C">
        <w:rPr>
          <w:rFonts w:asciiTheme="minorHAnsi" w:hAnsiTheme="minorHAnsi" w:cstheme="minorHAnsi"/>
          <w:iCs/>
          <w:sz w:val="22"/>
          <w:szCs w:val="22"/>
        </w:rPr>
        <w:t xml:space="preserve"> koja je primijenjena u 202</w:t>
      </w:r>
      <w:r w:rsidR="00F966A0">
        <w:rPr>
          <w:rFonts w:asciiTheme="minorHAnsi" w:hAnsiTheme="minorHAnsi" w:cstheme="minorHAnsi"/>
          <w:iCs/>
          <w:sz w:val="22"/>
          <w:szCs w:val="22"/>
        </w:rPr>
        <w:t>4</w:t>
      </w:r>
      <w:r w:rsidR="00B77D1C">
        <w:rPr>
          <w:rFonts w:asciiTheme="minorHAnsi" w:hAnsiTheme="minorHAnsi" w:cstheme="minorHAnsi"/>
          <w:iCs/>
          <w:sz w:val="22"/>
          <w:szCs w:val="22"/>
        </w:rPr>
        <w:t>. godini.</w:t>
      </w:r>
    </w:p>
    <w:p w:rsidR="0046662F" w:rsidRDefault="00456DCE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456DCE">
        <w:rPr>
          <w:rFonts w:ascii="Calibri" w:hAnsi="Calibri" w:cs="Calibri"/>
          <w:b/>
          <w:i/>
          <w:iCs/>
          <w:color w:val="0000FF"/>
          <w:sz w:val="22"/>
          <w:szCs w:val="22"/>
        </w:rPr>
        <w:t>MATERIJALNI RASHODI</w:t>
      </w:r>
      <w:r w:rsidR="004A33E9" w:rsidRPr="00456DCE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4A33E9" w:rsidRPr="00456DCE">
        <w:rPr>
          <w:rFonts w:ascii="Calibri" w:hAnsi="Calibri" w:cs="Calibri"/>
          <w:b/>
          <w:iCs/>
          <w:color w:val="0000FF"/>
          <w:sz w:val="22"/>
          <w:szCs w:val="22"/>
        </w:rPr>
        <w:t>(šifra 32)</w:t>
      </w:r>
      <w:r w:rsidR="004A33E9" w:rsidRPr="00456DCE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>–</w:t>
      </w:r>
      <w:r w:rsidR="004A33E9">
        <w:rPr>
          <w:rFonts w:ascii="Calibri" w:hAnsi="Calibri" w:cs="Calibri"/>
          <w:iCs/>
          <w:sz w:val="22"/>
          <w:szCs w:val="22"/>
        </w:rPr>
        <w:t xml:space="preserve"> </w:t>
      </w:r>
      <w:r w:rsidR="00794AE5">
        <w:rPr>
          <w:rFonts w:ascii="Calibri" w:hAnsi="Calibri" w:cs="Calibri"/>
          <w:iCs/>
          <w:sz w:val="22"/>
          <w:szCs w:val="22"/>
        </w:rPr>
        <w:t>izvršeni</w:t>
      </w:r>
      <w:r w:rsidR="00431C06">
        <w:rPr>
          <w:rFonts w:ascii="Calibri" w:hAnsi="Calibri" w:cs="Calibri"/>
          <w:iCs/>
          <w:sz w:val="22"/>
          <w:szCs w:val="22"/>
        </w:rPr>
        <w:t xml:space="preserve"> su u izvještajnom razdoblju u iznosu od </w:t>
      </w:r>
      <w:r w:rsidR="0046662F" w:rsidRPr="00287B96">
        <w:rPr>
          <w:rFonts w:ascii="Calibri" w:hAnsi="Calibri" w:cs="Calibri"/>
          <w:iCs/>
          <w:sz w:val="22"/>
          <w:szCs w:val="22"/>
        </w:rPr>
        <w:t>1.010.608,78</w:t>
      </w:r>
      <w:r w:rsidR="00431C06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8343F8" w:rsidRPr="00287B96">
        <w:rPr>
          <w:rFonts w:ascii="Calibri" w:hAnsi="Calibri" w:cs="Calibri"/>
          <w:iCs/>
          <w:sz w:val="22"/>
          <w:szCs w:val="22"/>
        </w:rPr>
        <w:t>eura</w:t>
      </w:r>
      <w:r w:rsidR="00431C06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431C06">
        <w:rPr>
          <w:rFonts w:ascii="Calibri" w:hAnsi="Calibri" w:cs="Calibri"/>
          <w:iCs/>
          <w:sz w:val="22"/>
          <w:szCs w:val="22"/>
        </w:rPr>
        <w:t xml:space="preserve">što predstavlja </w:t>
      </w:r>
      <w:r w:rsidR="00794AE5">
        <w:rPr>
          <w:rFonts w:ascii="Calibri" w:hAnsi="Calibri" w:cs="Calibri"/>
          <w:iCs/>
          <w:sz w:val="22"/>
          <w:szCs w:val="22"/>
        </w:rPr>
        <w:t>izvršenje</w:t>
      </w:r>
      <w:r w:rsidR="00431C06">
        <w:rPr>
          <w:rFonts w:ascii="Calibri" w:hAnsi="Calibri" w:cs="Calibri"/>
          <w:iCs/>
          <w:sz w:val="22"/>
          <w:szCs w:val="22"/>
        </w:rPr>
        <w:t xml:space="preserve"> u iznosu od </w:t>
      </w:r>
      <w:r w:rsidR="0046662F">
        <w:rPr>
          <w:rFonts w:ascii="Calibri" w:hAnsi="Calibri" w:cs="Calibri"/>
          <w:iCs/>
          <w:sz w:val="22"/>
          <w:szCs w:val="22"/>
        </w:rPr>
        <w:t>83,8</w:t>
      </w:r>
      <w:r w:rsidR="00431C06">
        <w:rPr>
          <w:rFonts w:ascii="Calibri" w:hAnsi="Calibri" w:cs="Calibri"/>
          <w:iCs/>
          <w:sz w:val="22"/>
          <w:szCs w:val="22"/>
        </w:rPr>
        <w:t>% u odnosu  na plan</w:t>
      </w:r>
      <w:r w:rsidR="00552BA8">
        <w:rPr>
          <w:rFonts w:ascii="Calibri" w:hAnsi="Calibri" w:cs="Calibri"/>
          <w:iCs/>
          <w:sz w:val="22"/>
          <w:szCs w:val="22"/>
        </w:rPr>
        <w:t xml:space="preserve"> i </w:t>
      </w:r>
      <w:r w:rsidR="0046662F">
        <w:rPr>
          <w:rFonts w:ascii="Calibri" w:hAnsi="Calibri" w:cs="Calibri"/>
          <w:iCs/>
          <w:sz w:val="22"/>
          <w:szCs w:val="22"/>
        </w:rPr>
        <w:t>povećanje</w:t>
      </w:r>
      <w:r w:rsidR="00552BA8">
        <w:rPr>
          <w:rFonts w:ascii="Calibri" w:hAnsi="Calibri" w:cs="Calibri"/>
          <w:iCs/>
          <w:sz w:val="22"/>
          <w:szCs w:val="22"/>
        </w:rPr>
        <w:t xml:space="preserve"> </w:t>
      </w:r>
      <w:r w:rsidR="005F2D6D">
        <w:rPr>
          <w:rFonts w:ascii="Calibri" w:hAnsi="Calibri" w:cs="Calibri"/>
          <w:iCs/>
          <w:sz w:val="22"/>
          <w:szCs w:val="22"/>
        </w:rPr>
        <w:t>od</w:t>
      </w:r>
      <w:r w:rsidR="00552BA8">
        <w:rPr>
          <w:rFonts w:ascii="Calibri" w:hAnsi="Calibri" w:cs="Calibri"/>
          <w:iCs/>
          <w:sz w:val="22"/>
          <w:szCs w:val="22"/>
        </w:rPr>
        <w:t xml:space="preserve"> </w:t>
      </w:r>
      <w:r w:rsidR="0046662F">
        <w:rPr>
          <w:rFonts w:ascii="Calibri" w:hAnsi="Calibri" w:cs="Calibri"/>
          <w:iCs/>
          <w:sz w:val="22"/>
          <w:szCs w:val="22"/>
        </w:rPr>
        <w:t>5,8</w:t>
      </w:r>
      <w:r w:rsidR="00552BA8">
        <w:rPr>
          <w:rFonts w:ascii="Calibri" w:hAnsi="Calibri" w:cs="Calibri"/>
          <w:iCs/>
          <w:sz w:val="22"/>
          <w:szCs w:val="22"/>
        </w:rPr>
        <w:t xml:space="preserve">% </w:t>
      </w:r>
      <w:r w:rsidR="008343F8">
        <w:rPr>
          <w:rFonts w:ascii="Calibri" w:hAnsi="Calibri" w:cs="Calibri"/>
          <w:iCs/>
          <w:sz w:val="22"/>
          <w:szCs w:val="22"/>
        </w:rPr>
        <w:t>u odnosu  na isto razdoblje 202</w:t>
      </w:r>
      <w:r w:rsidR="0046662F">
        <w:rPr>
          <w:rFonts w:ascii="Calibri" w:hAnsi="Calibri" w:cs="Calibri"/>
          <w:iCs/>
          <w:sz w:val="22"/>
          <w:szCs w:val="22"/>
        </w:rPr>
        <w:t>3</w:t>
      </w:r>
      <w:r w:rsidR="00552BA8">
        <w:rPr>
          <w:rFonts w:ascii="Calibri" w:hAnsi="Calibri" w:cs="Calibri"/>
          <w:iCs/>
          <w:sz w:val="22"/>
          <w:szCs w:val="22"/>
        </w:rPr>
        <w:t xml:space="preserve">. </w:t>
      </w:r>
      <w:r w:rsidR="0046662F">
        <w:rPr>
          <w:rFonts w:ascii="Calibri" w:hAnsi="Calibri" w:cs="Calibri"/>
          <w:iCs/>
          <w:sz w:val="22"/>
          <w:szCs w:val="22"/>
        </w:rPr>
        <w:t>godine na što su utjecali veći r</w:t>
      </w:r>
      <w:r w:rsidR="008343F8">
        <w:rPr>
          <w:rFonts w:ascii="Calibri" w:hAnsi="Calibri" w:cs="Calibri"/>
          <w:iCs/>
          <w:sz w:val="22"/>
          <w:szCs w:val="22"/>
        </w:rPr>
        <w:t xml:space="preserve">ashodi </w:t>
      </w:r>
      <w:r w:rsidR="0046662F">
        <w:rPr>
          <w:rFonts w:ascii="Calibri" w:hAnsi="Calibri" w:cs="Calibri"/>
          <w:iCs/>
          <w:sz w:val="22"/>
          <w:szCs w:val="22"/>
        </w:rPr>
        <w:t xml:space="preserve">za tekuće i investicijsko održavanje, veći rashodi za komunalne i računalne usluge uslijed povećanja cijena ovih usluga. </w:t>
      </w:r>
    </w:p>
    <w:p w:rsidR="007A4B2B" w:rsidRDefault="0075023F" w:rsidP="001A3B23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75023F">
        <w:rPr>
          <w:rFonts w:ascii="Calibri" w:hAnsi="Calibri" w:cs="Calibri"/>
          <w:b/>
          <w:i/>
          <w:iCs/>
          <w:color w:val="0000FF"/>
          <w:sz w:val="22"/>
          <w:szCs w:val="22"/>
        </w:rPr>
        <w:t>FINANCIJSKI RASHODI</w:t>
      </w:r>
      <w:r w:rsidR="007A4B2B" w:rsidRPr="0075023F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7A4B2B" w:rsidRPr="0075023F">
        <w:rPr>
          <w:rFonts w:ascii="Calibri" w:hAnsi="Calibri" w:cs="Calibri"/>
          <w:b/>
          <w:iCs/>
          <w:color w:val="0000FF"/>
          <w:sz w:val="22"/>
          <w:szCs w:val="22"/>
        </w:rPr>
        <w:t xml:space="preserve">(šifra 34) </w:t>
      </w:r>
      <w:r w:rsidR="007A4B2B">
        <w:rPr>
          <w:rFonts w:ascii="Calibri" w:hAnsi="Calibri" w:cs="Calibri"/>
          <w:iCs/>
          <w:sz w:val="22"/>
          <w:szCs w:val="22"/>
        </w:rPr>
        <w:t xml:space="preserve">– </w:t>
      </w:r>
      <w:r w:rsidR="00794AE5">
        <w:rPr>
          <w:rFonts w:ascii="Calibri" w:hAnsi="Calibri" w:cs="Calibri"/>
          <w:iCs/>
          <w:sz w:val="22"/>
          <w:szCs w:val="22"/>
        </w:rPr>
        <w:t xml:space="preserve">izvršeni </w:t>
      </w:r>
      <w:r w:rsidR="007A4B2B">
        <w:rPr>
          <w:rFonts w:ascii="Calibri" w:hAnsi="Calibri" w:cs="Calibri"/>
          <w:iCs/>
          <w:sz w:val="22"/>
          <w:szCs w:val="22"/>
        </w:rPr>
        <w:t xml:space="preserve">su u iznosu od </w:t>
      </w:r>
      <w:r w:rsidR="0030649D" w:rsidRPr="00287B96">
        <w:rPr>
          <w:rFonts w:ascii="Calibri" w:hAnsi="Calibri" w:cs="Calibri"/>
          <w:iCs/>
          <w:sz w:val="22"/>
          <w:szCs w:val="22"/>
        </w:rPr>
        <w:t>17.645,77</w:t>
      </w:r>
      <w:r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7A4B2B">
        <w:rPr>
          <w:rFonts w:ascii="Calibri" w:hAnsi="Calibri" w:cs="Calibri"/>
          <w:iCs/>
          <w:sz w:val="22"/>
          <w:szCs w:val="22"/>
        </w:rPr>
        <w:t xml:space="preserve"> što je </w:t>
      </w:r>
      <w:r w:rsidR="0030649D">
        <w:rPr>
          <w:rFonts w:ascii="Calibri" w:hAnsi="Calibri" w:cs="Calibri"/>
          <w:iCs/>
          <w:sz w:val="22"/>
          <w:szCs w:val="22"/>
        </w:rPr>
        <w:t>79,5</w:t>
      </w:r>
      <w:r w:rsidR="007A4B2B">
        <w:rPr>
          <w:rFonts w:ascii="Calibri" w:hAnsi="Calibri" w:cs="Calibri"/>
          <w:iCs/>
          <w:sz w:val="22"/>
          <w:szCs w:val="22"/>
        </w:rPr>
        <w:t xml:space="preserve">% planiranih i za </w:t>
      </w:r>
      <w:r w:rsidR="0030649D">
        <w:rPr>
          <w:rFonts w:ascii="Calibri" w:hAnsi="Calibri" w:cs="Calibri"/>
          <w:iCs/>
          <w:sz w:val="22"/>
          <w:szCs w:val="22"/>
        </w:rPr>
        <w:t>8,2</w:t>
      </w:r>
      <w:r w:rsidR="007A4B2B">
        <w:rPr>
          <w:rFonts w:ascii="Calibri" w:hAnsi="Calibri" w:cs="Calibri"/>
          <w:iCs/>
          <w:sz w:val="22"/>
          <w:szCs w:val="22"/>
        </w:rPr>
        <w:t xml:space="preserve">% više u odnosu na isto razdoblje </w:t>
      </w:r>
      <w:r>
        <w:rPr>
          <w:rFonts w:ascii="Calibri" w:hAnsi="Calibri" w:cs="Calibri"/>
          <w:iCs/>
          <w:sz w:val="22"/>
          <w:szCs w:val="22"/>
        </w:rPr>
        <w:t>202</w:t>
      </w:r>
      <w:r w:rsidR="0030649D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iCs/>
          <w:sz w:val="22"/>
          <w:szCs w:val="22"/>
        </w:rPr>
        <w:t>.</w:t>
      </w:r>
      <w:r w:rsidR="007A4B2B">
        <w:rPr>
          <w:rFonts w:ascii="Calibri" w:hAnsi="Calibri" w:cs="Calibri"/>
          <w:iCs/>
          <w:sz w:val="22"/>
          <w:szCs w:val="22"/>
        </w:rPr>
        <w:t xml:space="preserve"> godine </w:t>
      </w:r>
      <w:r w:rsidR="00205199">
        <w:rPr>
          <w:rFonts w:ascii="Calibri" w:hAnsi="Calibri" w:cs="Calibri"/>
          <w:iCs/>
          <w:sz w:val="22"/>
          <w:szCs w:val="22"/>
        </w:rPr>
        <w:t xml:space="preserve">i to </w:t>
      </w:r>
      <w:r w:rsidR="007A4B2B">
        <w:rPr>
          <w:rFonts w:ascii="Calibri" w:hAnsi="Calibri" w:cs="Calibri"/>
          <w:iCs/>
          <w:sz w:val="22"/>
          <w:szCs w:val="22"/>
        </w:rPr>
        <w:t>zbog pov</w:t>
      </w:r>
      <w:r w:rsidR="0030649D">
        <w:rPr>
          <w:rFonts w:ascii="Calibri" w:hAnsi="Calibri" w:cs="Calibri"/>
          <w:iCs/>
          <w:sz w:val="22"/>
          <w:szCs w:val="22"/>
        </w:rPr>
        <w:t>ećanja cijene bankarskih usluga.</w:t>
      </w:r>
    </w:p>
    <w:p w:rsidR="0089303D" w:rsidRPr="0089303D" w:rsidRDefault="0089303D" w:rsidP="0089303D">
      <w:pPr>
        <w:pStyle w:val="Bezproreda"/>
        <w:spacing w:line="276" w:lineRule="auto"/>
        <w:ind w:left="360"/>
        <w:jc w:val="both"/>
        <w:rPr>
          <w:color w:val="231F20"/>
          <w:sz w:val="24"/>
          <w:szCs w:val="24"/>
          <w:shd w:val="clear" w:color="auto" w:fill="FFFFFF"/>
        </w:rPr>
      </w:pPr>
      <w:r w:rsidRPr="0089303D">
        <w:rPr>
          <w:rFonts w:ascii="Calibri" w:hAnsi="Calibri" w:cs="Calibri"/>
          <w:b/>
          <w:i/>
          <w:iCs/>
          <w:color w:val="0000FF"/>
        </w:rPr>
        <w:t>SUBVENCIJE</w:t>
      </w:r>
      <w:r w:rsidR="007A4B2B" w:rsidRPr="0089303D">
        <w:rPr>
          <w:rFonts w:ascii="Calibri" w:hAnsi="Calibri" w:cs="Calibri"/>
          <w:b/>
          <w:i/>
          <w:iCs/>
          <w:color w:val="0000FF"/>
        </w:rPr>
        <w:t xml:space="preserve"> </w:t>
      </w:r>
      <w:r w:rsidR="007A4B2B" w:rsidRPr="0089303D">
        <w:rPr>
          <w:rFonts w:ascii="Calibri" w:hAnsi="Calibri" w:cs="Calibri"/>
          <w:b/>
          <w:iCs/>
          <w:color w:val="0000FF"/>
        </w:rPr>
        <w:t>(šifra</w:t>
      </w:r>
      <w:r w:rsidR="00CA3D78" w:rsidRPr="0089303D">
        <w:rPr>
          <w:rFonts w:ascii="Calibri" w:hAnsi="Calibri" w:cs="Calibri"/>
          <w:b/>
          <w:iCs/>
          <w:color w:val="0000FF"/>
        </w:rPr>
        <w:t xml:space="preserve"> 35</w:t>
      </w:r>
      <w:r w:rsidR="007A4B2B" w:rsidRPr="0089303D">
        <w:rPr>
          <w:rFonts w:ascii="Calibri" w:hAnsi="Calibri" w:cs="Calibri"/>
          <w:b/>
          <w:iCs/>
          <w:color w:val="0000FF"/>
        </w:rPr>
        <w:t>)</w:t>
      </w:r>
      <w:r w:rsidR="007A4B2B" w:rsidRPr="0089303D">
        <w:rPr>
          <w:rFonts w:ascii="Calibri" w:hAnsi="Calibri" w:cs="Calibri"/>
          <w:b/>
          <w:i/>
          <w:iCs/>
          <w:color w:val="0000FF"/>
        </w:rPr>
        <w:t xml:space="preserve"> </w:t>
      </w:r>
      <w:r w:rsidR="007A4B2B">
        <w:rPr>
          <w:rFonts w:ascii="Calibri" w:hAnsi="Calibri" w:cs="Calibri"/>
          <w:iCs/>
        </w:rPr>
        <w:t xml:space="preserve">– se odnose na </w:t>
      </w:r>
      <w:r w:rsidR="009A6062">
        <w:rPr>
          <w:rFonts w:ascii="Calibri" w:hAnsi="Calibri" w:cs="Calibri"/>
          <w:iCs/>
        </w:rPr>
        <w:t>tekuće prijenose sredstava dvama trgovačkim društvima i to: TD Obala i Parkovi d.o.o.</w:t>
      </w:r>
      <w:r w:rsidR="00FE052A">
        <w:rPr>
          <w:rFonts w:ascii="Calibri" w:hAnsi="Calibri" w:cs="Calibri"/>
          <w:iCs/>
        </w:rPr>
        <w:t xml:space="preserve"> i TD Otok Ugljan d.o.o.</w:t>
      </w:r>
      <w:r w:rsidR="009A6062">
        <w:rPr>
          <w:rFonts w:ascii="Calibri" w:hAnsi="Calibri" w:cs="Calibri"/>
          <w:iCs/>
        </w:rPr>
        <w:t>, koj</w:t>
      </w:r>
      <w:r w:rsidR="000C373C">
        <w:rPr>
          <w:rFonts w:ascii="Calibri" w:hAnsi="Calibri" w:cs="Calibri"/>
          <w:iCs/>
        </w:rPr>
        <w:t xml:space="preserve">ima </w:t>
      </w:r>
      <w:r w:rsidR="009A6062">
        <w:rPr>
          <w:rFonts w:ascii="Calibri" w:hAnsi="Calibri" w:cs="Calibri"/>
          <w:iCs/>
        </w:rPr>
        <w:t xml:space="preserve">su izvršeni prijenosi sredstava u izvještajnom razdoblju u iznosu od </w:t>
      </w:r>
      <w:r w:rsidR="0030649D" w:rsidRPr="00287B96">
        <w:rPr>
          <w:rFonts w:ascii="Calibri" w:hAnsi="Calibri" w:cs="Calibri"/>
          <w:iCs/>
        </w:rPr>
        <w:t>693.473,68</w:t>
      </w:r>
      <w:r w:rsidRPr="00287B96">
        <w:rPr>
          <w:rFonts w:ascii="Calibri" w:hAnsi="Calibri" w:cs="Calibri"/>
          <w:iCs/>
        </w:rPr>
        <w:t xml:space="preserve"> eura</w:t>
      </w:r>
      <w:r w:rsidR="009A6062" w:rsidRPr="004A33E9">
        <w:rPr>
          <w:rFonts w:ascii="Calibri" w:hAnsi="Calibri" w:cs="Calibri"/>
          <w:iCs/>
        </w:rPr>
        <w:t xml:space="preserve"> </w:t>
      </w:r>
      <w:r w:rsidR="009A6062">
        <w:rPr>
          <w:rFonts w:ascii="Calibri" w:hAnsi="Calibri" w:cs="Calibri"/>
          <w:iCs/>
        </w:rPr>
        <w:t xml:space="preserve">što iznosi </w:t>
      </w:r>
      <w:r w:rsidR="0030649D">
        <w:rPr>
          <w:rFonts w:ascii="Calibri" w:hAnsi="Calibri" w:cs="Calibri"/>
          <w:iCs/>
        </w:rPr>
        <w:t>96,3</w:t>
      </w:r>
      <w:r w:rsidR="009A6062">
        <w:rPr>
          <w:rFonts w:ascii="Calibri" w:hAnsi="Calibri" w:cs="Calibri"/>
          <w:iCs/>
        </w:rPr>
        <w:t xml:space="preserve">% plana i za </w:t>
      </w:r>
      <w:r w:rsidR="0030649D">
        <w:rPr>
          <w:rFonts w:ascii="Calibri" w:hAnsi="Calibri" w:cs="Calibri"/>
          <w:iCs/>
        </w:rPr>
        <w:t>6,3</w:t>
      </w:r>
      <w:r w:rsidR="009A6062">
        <w:rPr>
          <w:rFonts w:ascii="Calibri" w:hAnsi="Calibri" w:cs="Calibri"/>
          <w:iCs/>
        </w:rPr>
        <w:t>% više u odnosu na isto razdoblje 202</w:t>
      </w:r>
      <w:r w:rsidR="0030649D">
        <w:rPr>
          <w:rFonts w:ascii="Calibri" w:hAnsi="Calibri" w:cs="Calibri"/>
          <w:iCs/>
        </w:rPr>
        <w:t>3</w:t>
      </w:r>
      <w:r w:rsidR="009A6062">
        <w:rPr>
          <w:rFonts w:ascii="Calibri" w:hAnsi="Calibri" w:cs="Calibri"/>
          <w:iCs/>
        </w:rPr>
        <w:t>. go</w:t>
      </w:r>
      <w:r>
        <w:rPr>
          <w:rFonts w:ascii="Calibri" w:hAnsi="Calibri" w:cs="Calibri"/>
          <w:iCs/>
        </w:rPr>
        <w:t xml:space="preserve">dine zbog </w:t>
      </w:r>
      <w:r w:rsidRPr="0089303D">
        <w:rPr>
          <w:rFonts w:cs="Calibri"/>
          <w:iCs/>
        </w:rPr>
        <w:t xml:space="preserve">izdvajanja dodatnih sredstava </w:t>
      </w:r>
      <w:r>
        <w:rPr>
          <w:rFonts w:cs="Calibri"/>
          <w:iCs/>
        </w:rPr>
        <w:t xml:space="preserve">tim </w:t>
      </w:r>
      <w:r w:rsidRPr="0089303D">
        <w:rPr>
          <w:rFonts w:cs="Calibri"/>
          <w:iCs/>
        </w:rPr>
        <w:t xml:space="preserve">društvima čije je poslovanje bilo direktno ugroženo </w:t>
      </w:r>
      <w:r w:rsidRPr="0089303D">
        <w:rPr>
          <w:color w:val="231F20"/>
          <w:shd w:val="clear" w:color="auto" w:fill="FFFFFF"/>
        </w:rPr>
        <w:t>globalnim poremećajima na tržištima građevnih materijala, proizvoda i usluga radi inflacije.</w:t>
      </w:r>
      <w:r w:rsidRPr="0089303D">
        <w:rPr>
          <w:color w:val="231F20"/>
          <w:sz w:val="24"/>
          <w:szCs w:val="24"/>
          <w:shd w:val="clear" w:color="auto" w:fill="FFFFFF"/>
        </w:rPr>
        <w:t xml:space="preserve"> </w:t>
      </w:r>
    </w:p>
    <w:p w:rsidR="006E2994" w:rsidRDefault="0089303D" w:rsidP="0089303D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89303D">
        <w:rPr>
          <w:rFonts w:ascii="Calibri" w:hAnsi="Calibri" w:cs="Calibri"/>
          <w:b/>
          <w:i/>
          <w:iCs/>
          <w:color w:val="0000FF"/>
          <w:sz w:val="22"/>
          <w:szCs w:val="22"/>
        </w:rPr>
        <w:t>POMOĆI DANE U INOZEMSTVO I UNUTAR OPĆEG PRORAČUNA</w:t>
      </w:r>
      <w:r w:rsidR="009A6062" w:rsidRPr="0089303D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9A6062" w:rsidRPr="0089303D">
        <w:rPr>
          <w:rFonts w:ascii="Calibri" w:hAnsi="Calibri" w:cs="Calibri"/>
          <w:b/>
          <w:iCs/>
          <w:color w:val="0000FF"/>
          <w:sz w:val="22"/>
          <w:szCs w:val="22"/>
        </w:rPr>
        <w:t xml:space="preserve">(šifra 36) </w:t>
      </w:r>
      <w:r w:rsidR="009A6062">
        <w:rPr>
          <w:rFonts w:ascii="Calibri" w:hAnsi="Calibri" w:cs="Calibri"/>
          <w:iCs/>
          <w:sz w:val="22"/>
          <w:szCs w:val="22"/>
        </w:rPr>
        <w:t>– odnose se na prijenos</w:t>
      </w:r>
      <w:r w:rsidR="00630868">
        <w:rPr>
          <w:rFonts w:ascii="Calibri" w:hAnsi="Calibri" w:cs="Calibri"/>
          <w:iCs/>
          <w:sz w:val="22"/>
          <w:szCs w:val="22"/>
        </w:rPr>
        <w:t>e</w:t>
      </w:r>
      <w:r w:rsidR="009A6062">
        <w:rPr>
          <w:rFonts w:ascii="Calibri" w:hAnsi="Calibri" w:cs="Calibri"/>
          <w:iCs/>
          <w:sz w:val="22"/>
          <w:szCs w:val="22"/>
        </w:rPr>
        <w:t xml:space="preserve"> sredstava </w:t>
      </w:r>
      <w:r w:rsidR="00630868">
        <w:rPr>
          <w:rFonts w:ascii="Calibri" w:hAnsi="Calibri" w:cs="Calibri"/>
          <w:iCs/>
          <w:sz w:val="22"/>
          <w:szCs w:val="22"/>
        </w:rPr>
        <w:t xml:space="preserve">za redovno poslovanje; DV Lastavica – proračunskom korisniku Općine Preko i </w:t>
      </w:r>
      <w:r w:rsidR="009A6062">
        <w:rPr>
          <w:rFonts w:ascii="Calibri" w:hAnsi="Calibri" w:cs="Calibri"/>
          <w:iCs/>
          <w:sz w:val="22"/>
          <w:szCs w:val="22"/>
        </w:rPr>
        <w:t>Pučkom otvorenom učilištu Dom Na Žalu</w:t>
      </w:r>
      <w:r w:rsidR="00794AE5">
        <w:rPr>
          <w:rFonts w:ascii="Calibri" w:hAnsi="Calibri" w:cs="Calibri"/>
          <w:iCs/>
          <w:sz w:val="22"/>
          <w:szCs w:val="22"/>
        </w:rPr>
        <w:t xml:space="preserve"> i </w:t>
      </w:r>
      <w:r w:rsidR="007D6CFA">
        <w:rPr>
          <w:rFonts w:ascii="Calibri" w:hAnsi="Calibri" w:cs="Calibri"/>
          <w:iCs/>
          <w:sz w:val="22"/>
          <w:szCs w:val="22"/>
        </w:rPr>
        <w:t xml:space="preserve">u izvještajno razdoblju su </w:t>
      </w:r>
      <w:r w:rsidR="00794AE5">
        <w:rPr>
          <w:rFonts w:ascii="Calibri" w:hAnsi="Calibri" w:cs="Calibri"/>
          <w:iCs/>
          <w:sz w:val="22"/>
          <w:szCs w:val="22"/>
        </w:rPr>
        <w:t xml:space="preserve">izvršene </w:t>
      </w:r>
      <w:r w:rsidR="009A6062">
        <w:rPr>
          <w:rFonts w:ascii="Calibri" w:hAnsi="Calibri" w:cs="Calibri"/>
          <w:iCs/>
          <w:sz w:val="22"/>
          <w:szCs w:val="22"/>
        </w:rPr>
        <w:t xml:space="preserve">u iznosu od </w:t>
      </w:r>
      <w:r w:rsidR="006C0D0C" w:rsidRPr="00287B96">
        <w:rPr>
          <w:rFonts w:ascii="Calibri" w:hAnsi="Calibri" w:cs="Calibri"/>
          <w:iCs/>
          <w:sz w:val="22"/>
          <w:szCs w:val="22"/>
        </w:rPr>
        <w:t>501.750,01 eura</w:t>
      </w:r>
      <w:r w:rsidR="006C0D0C">
        <w:rPr>
          <w:rFonts w:ascii="Calibri" w:hAnsi="Calibri" w:cs="Calibri"/>
          <w:iCs/>
          <w:sz w:val="22"/>
          <w:szCs w:val="22"/>
        </w:rPr>
        <w:t xml:space="preserve"> što je povećanje od 49,8% u odnosu na isto izvještajno razdoblje 2023. godine radi povećanja plaća djelatnicima Dječjeg vrtića Lastavica i izdvajanja većih pomoći Pučkom otvorenom učilištu radi povećanja cijene usluga.</w:t>
      </w:r>
    </w:p>
    <w:p w:rsidR="00794AE5" w:rsidRDefault="009B42B6" w:rsidP="0089303D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9B42B6">
        <w:rPr>
          <w:rFonts w:ascii="Calibri" w:hAnsi="Calibri" w:cs="Calibri"/>
          <w:b/>
          <w:i/>
          <w:iCs/>
          <w:color w:val="0000FF"/>
          <w:sz w:val="22"/>
          <w:szCs w:val="22"/>
        </w:rPr>
        <w:t>NAKNADE GRAĐANIMA I KUĆANSTVIMA NA TEMELJU OSIGURANJA I DRUGE NAKNADE</w:t>
      </w:r>
      <w:r w:rsidR="00794AE5" w:rsidRPr="009B42B6">
        <w:rPr>
          <w:rFonts w:ascii="Calibri" w:hAnsi="Calibri" w:cs="Calibri"/>
          <w:b/>
          <w:i/>
          <w:iCs/>
          <w:color w:val="0000FF"/>
          <w:sz w:val="22"/>
          <w:szCs w:val="22"/>
        </w:rPr>
        <w:t xml:space="preserve"> </w:t>
      </w:r>
      <w:r w:rsidR="00794AE5" w:rsidRPr="009B42B6">
        <w:rPr>
          <w:rFonts w:ascii="Calibri" w:hAnsi="Calibri" w:cs="Calibri"/>
          <w:b/>
          <w:iCs/>
          <w:color w:val="0000FF"/>
          <w:sz w:val="22"/>
          <w:szCs w:val="22"/>
        </w:rPr>
        <w:t>(šifra 37)</w:t>
      </w:r>
      <w:r w:rsidR="00794AE5" w:rsidRPr="009B42B6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 w:rsidR="00794AE5">
        <w:rPr>
          <w:rFonts w:ascii="Calibri" w:hAnsi="Calibri" w:cs="Calibri"/>
          <w:iCs/>
          <w:sz w:val="22"/>
          <w:szCs w:val="22"/>
        </w:rPr>
        <w:t xml:space="preserve">– u </w:t>
      </w:r>
      <w:r w:rsidR="00A8176F">
        <w:rPr>
          <w:rFonts w:ascii="Calibri" w:hAnsi="Calibri" w:cs="Calibri"/>
          <w:iCs/>
          <w:sz w:val="22"/>
          <w:szCs w:val="22"/>
        </w:rPr>
        <w:t>izvještajnom razdoblju</w:t>
      </w:r>
      <w:r w:rsidR="00794AE5">
        <w:rPr>
          <w:rFonts w:ascii="Calibri" w:hAnsi="Calibri" w:cs="Calibri"/>
          <w:iCs/>
          <w:sz w:val="22"/>
          <w:szCs w:val="22"/>
        </w:rPr>
        <w:t xml:space="preserve"> izvršene su u  iznosu od </w:t>
      </w:r>
      <w:r w:rsidR="00105993" w:rsidRPr="00287B96">
        <w:rPr>
          <w:rFonts w:ascii="Calibri" w:hAnsi="Calibri" w:cs="Calibri"/>
          <w:iCs/>
          <w:sz w:val="22"/>
          <w:szCs w:val="22"/>
        </w:rPr>
        <w:t>190.329,24</w:t>
      </w:r>
      <w:r w:rsidRPr="00287B96">
        <w:rPr>
          <w:rFonts w:ascii="Calibri" w:hAnsi="Calibri" w:cs="Calibri"/>
          <w:iCs/>
          <w:sz w:val="22"/>
          <w:szCs w:val="22"/>
        </w:rPr>
        <w:t xml:space="preserve"> eura</w:t>
      </w:r>
      <w:r w:rsidR="00794AE5">
        <w:rPr>
          <w:rFonts w:ascii="Calibri" w:hAnsi="Calibri" w:cs="Calibri"/>
          <w:iCs/>
          <w:sz w:val="22"/>
          <w:szCs w:val="22"/>
        </w:rPr>
        <w:t xml:space="preserve"> što je </w:t>
      </w:r>
      <w:r w:rsidR="00105993">
        <w:rPr>
          <w:rFonts w:ascii="Calibri" w:hAnsi="Calibri" w:cs="Calibri"/>
          <w:iCs/>
          <w:sz w:val="22"/>
          <w:szCs w:val="22"/>
        </w:rPr>
        <w:t>86,9</w:t>
      </w:r>
      <w:r w:rsidR="00794AE5">
        <w:rPr>
          <w:rFonts w:ascii="Calibri" w:hAnsi="Calibri" w:cs="Calibri"/>
          <w:iCs/>
          <w:sz w:val="22"/>
          <w:szCs w:val="22"/>
        </w:rPr>
        <w:t xml:space="preserve">% plana i </w:t>
      </w:r>
      <w:r>
        <w:rPr>
          <w:rFonts w:ascii="Calibri" w:hAnsi="Calibri" w:cs="Calibri"/>
          <w:iCs/>
          <w:sz w:val="22"/>
          <w:szCs w:val="22"/>
        </w:rPr>
        <w:t>veće</w:t>
      </w:r>
      <w:r w:rsidR="00794AE5">
        <w:rPr>
          <w:rFonts w:ascii="Calibri" w:hAnsi="Calibri" w:cs="Calibri"/>
          <w:iCs/>
          <w:sz w:val="22"/>
          <w:szCs w:val="22"/>
        </w:rPr>
        <w:t xml:space="preserve"> su za </w:t>
      </w:r>
      <w:r>
        <w:rPr>
          <w:rFonts w:ascii="Calibri" w:hAnsi="Calibri" w:cs="Calibri"/>
          <w:iCs/>
          <w:sz w:val="22"/>
          <w:szCs w:val="22"/>
        </w:rPr>
        <w:t>12,</w:t>
      </w:r>
      <w:r w:rsidR="00105993">
        <w:rPr>
          <w:rFonts w:ascii="Calibri" w:hAnsi="Calibri" w:cs="Calibri"/>
          <w:iCs/>
          <w:sz w:val="22"/>
          <w:szCs w:val="22"/>
        </w:rPr>
        <w:t>5</w:t>
      </w:r>
      <w:r w:rsidR="00794AE5">
        <w:rPr>
          <w:rFonts w:ascii="Calibri" w:hAnsi="Calibri" w:cs="Calibri"/>
          <w:iCs/>
          <w:sz w:val="22"/>
          <w:szCs w:val="22"/>
        </w:rPr>
        <w:t>% u odnosu na isto razdoblje 202</w:t>
      </w:r>
      <w:r w:rsidR="00105993">
        <w:rPr>
          <w:rFonts w:ascii="Calibri" w:hAnsi="Calibri" w:cs="Calibri"/>
          <w:iCs/>
          <w:sz w:val="22"/>
          <w:szCs w:val="22"/>
        </w:rPr>
        <w:t>3</w:t>
      </w:r>
      <w:r w:rsidR="00295F15">
        <w:rPr>
          <w:rFonts w:ascii="Calibri" w:hAnsi="Calibri" w:cs="Calibri"/>
          <w:iCs/>
          <w:sz w:val="22"/>
          <w:szCs w:val="22"/>
        </w:rPr>
        <w:t>. godine zbog povećanja izdvajanja za stipendije i umirovljenike.</w:t>
      </w:r>
    </w:p>
    <w:p w:rsidR="003D36BA" w:rsidRPr="00861338" w:rsidRDefault="00F2403B" w:rsidP="00861338">
      <w:pPr>
        <w:pStyle w:val="Odlomakpopisa"/>
        <w:spacing w:after="0" w:line="276" w:lineRule="auto"/>
        <w:ind w:left="360"/>
        <w:jc w:val="both"/>
        <w:rPr>
          <w:rFonts w:eastAsia="Calibri" w:cs="Times New Roman"/>
        </w:rPr>
      </w:pPr>
      <w:r w:rsidRPr="00F2403B">
        <w:rPr>
          <w:rFonts w:ascii="Calibri" w:hAnsi="Calibri" w:cs="Calibri"/>
          <w:b/>
          <w:i/>
          <w:iCs/>
          <w:color w:val="0000FF"/>
        </w:rPr>
        <w:t>OSTALI RASHODI</w:t>
      </w:r>
      <w:r w:rsidR="003D36BA" w:rsidRPr="00F2403B">
        <w:rPr>
          <w:rFonts w:ascii="Calibri" w:hAnsi="Calibri" w:cs="Calibri"/>
          <w:b/>
          <w:i/>
          <w:iCs/>
          <w:color w:val="0000FF"/>
        </w:rPr>
        <w:t xml:space="preserve"> </w:t>
      </w:r>
      <w:r w:rsidR="003D36BA" w:rsidRPr="00F2403B">
        <w:rPr>
          <w:rFonts w:ascii="Calibri" w:hAnsi="Calibri" w:cs="Calibri"/>
          <w:b/>
          <w:iCs/>
          <w:color w:val="0000FF"/>
        </w:rPr>
        <w:t>(šifra</w:t>
      </w:r>
      <w:r w:rsidR="008D12A0" w:rsidRPr="00F2403B">
        <w:rPr>
          <w:rFonts w:ascii="Calibri" w:hAnsi="Calibri" w:cs="Calibri"/>
          <w:b/>
          <w:iCs/>
          <w:color w:val="0000FF"/>
        </w:rPr>
        <w:t xml:space="preserve"> 38</w:t>
      </w:r>
      <w:r w:rsidR="003D36BA" w:rsidRPr="00F2403B">
        <w:rPr>
          <w:rFonts w:ascii="Calibri" w:hAnsi="Calibri" w:cs="Calibri"/>
          <w:b/>
          <w:iCs/>
          <w:color w:val="0000FF"/>
        </w:rPr>
        <w:t xml:space="preserve">) </w:t>
      </w:r>
      <w:r w:rsidR="003D36BA">
        <w:rPr>
          <w:rFonts w:ascii="Calibri" w:hAnsi="Calibri" w:cs="Calibri"/>
          <w:iCs/>
        </w:rPr>
        <w:t xml:space="preserve">– u izvještajnom razdoblju izvršeni su u iznosu od </w:t>
      </w:r>
      <w:r w:rsidR="00BB4A3A" w:rsidRPr="00287B96">
        <w:rPr>
          <w:rFonts w:ascii="Calibri" w:hAnsi="Calibri" w:cs="Calibri"/>
          <w:iCs/>
        </w:rPr>
        <w:t>493.460,28 eura</w:t>
      </w:r>
      <w:r w:rsidR="003D36BA">
        <w:rPr>
          <w:rFonts w:ascii="Calibri" w:hAnsi="Calibri" w:cs="Calibri"/>
          <w:iCs/>
        </w:rPr>
        <w:t xml:space="preserve"> što iznosi </w:t>
      </w:r>
      <w:r w:rsidR="00BB4A3A">
        <w:rPr>
          <w:rFonts w:ascii="Calibri" w:hAnsi="Calibri" w:cs="Calibri"/>
          <w:iCs/>
        </w:rPr>
        <w:t>94,9</w:t>
      </w:r>
      <w:r w:rsidR="003D36BA">
        <w:rPr>
          <w:rFonts w:ascii="Calibri" w:hAnsi="Calibri" w:cs="Calibri"/>
          <w:iCs/>
        </w:rPr>
        <w:t>% planiranih</w:t>
      </w:r>
      <w:r w:rsidR="00BB4A3A">
        <w:rPr>
          <w:rFonts w:ascii="Calibri" w:hAnsi="Calibri" w:cs="Calibri"/>
          <w:iCs/>
        </w:rPr>
        <w:t xml:space="preserve"> rashoda</w:t>
      </w:r>
      <w:r w:rsidR="003D36BA">
        <w:rPr>
          <w:rFonts w:ascii="Calibri" w:hAnsi="Calibri" w:cs="Calibri"/>
          <w:iCs/>
        </w:rPr>
        <w:t xml:space="preserve">, a </w:t>
      </w:r>
      <w:r w:rsidR="00313149" w:rsidRPr="00313149">
        <w:rPr>
          <w:rFonts w:eastAsia="Calibri" w:cs="Times New Roman"/>
        </w:rPr>
        <w:t xml:space="preserve">obuhvaćaju tekuće donacije udrugama, političkim strankama, humanitarnim organizacijama, Turističkoj zajednici Općine Preko, Dobrovoljnom vatrogasnom </w:t>
      </w:r>
      <w:r w:rsidR="00313149" w:rsidRPr="00313149">
        <w:rPr>
          <w:rFonts w:eastAsia="Calibri" w:cs="Times New Roman"/>
        </w:rPr>
        <w:lastRenderedPageBreak/>
        <w:t xml:space="preserve">društvu Preko i ostale tekuće donacije, kapitalne pomoći trgovačkom društvu Obala i Parkovi d.o.o. za nabavu </w:t>
      </w:r>
      <w:r w:rsidR="00BB4A3A">
        <w:rPr>
          <w:rFonts w:eastAsia="Calibri" w:cs="Times New Roman"/>
        </w:rPr>
        <w:t>ulične čistilice.</w:t>
      </w:r>
      <w:r w:rsidR="00313149" w:rsidRPr="00313149">
        <w:rPr>
          <w:rFonts w:eastAsia="Calibri" w:cs="Times New Roman"/>
        </w:rPr>
        <w:t xml:space="preserve"> </w:t>
      </w:r>
    </w:p>
    <w:p w:rsidR="0050574B" w:rsidRDefault="00470A32" w:rsidP="00861338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861338">
        <w:rPr>
          <w:rFonts w:ascii="Calibri" w:hAnsi="Calibri" w:cs="Calibri"/>
          <w:b/>
          <w:iCs/>
          <w:sz w:val="22"/>
          <w:szCs w:val="22"/>
        </w:rPr>
        <w:t xml:space="preserve">RASHODI </w:t>
      </w:r>
      <w:r w:rsidR="00216FB0">
        <w:rPr>
          <w:rFonts w:ascii="Calibri" w:hAnsi="Calibri" w:cs="Calibri"/>
          <w:b/>
          <w:iCs/>
          <w:sz w:val="22"/>
          <w:szCs w:val="22"/>
        </w:rPr>
        <w:t xml:space="preserve">ZA NABAVU NEFINANCIJSKE IMOVINE </w:t>
      </w:r>
      <w:r w:rsidRPr="00861338">
        <w:rPr>
          <w:rFonts w:ascii="Calibri" w:hAnsi="Calibri" w:cs="Calibri"/>
          <w:b/>
          <w:iCs/>
          <w:sz w:val="22"/>
          <w:szCs w:val="22"/>
        </w:rPr>
        <w:t>(</w:t>
      </w:r>
      <w:r w:rsidR="00F87562" w:rsidRPr="00861338">
        <w:rPr>
          <w:rFonts w:ascii="Calibri" w:hAnsi="Calibri" w:cs="Calibri"/>
          <w:b/>
          <w:iCs/>
          <w:sz w:val="22"/>
          <w:szCs w:val="22"/>
        </w:rPr>
        <w:t>šifra</w:t>
      </w:r>
      <w:r w:rsidRPr="00861338">
        <w:rPr>
          <w:rFonts w:ascii="Calibri" w:hAnsi="Calibri" w:cs="Calibri"/>
          <w:b/>
          <w:iCs/>
          <w:sz w:val="22"/>
          <w:szCs w:val="22"/>
        </w:rPr>
        <w:t xml:space="preserve"> 4)</w:t>
      </w:r>
      <w:r w:rsidRPr="00861338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– izvršeni su u razdoblju I-</w:t>
      </w:r>
      <w:r w:rsidR="00411967">
        <w:rPr>
          <w:rFonts w:ascii="Calibri" w:hAnsi="Calibri" w:cs="Calibri"/>
          <w:iCs/>
          <w:sz w:val="22"/>
          <w:szCs w:val="22"/>
        </w:rPr>
        <w:t>XII</w:t>
      </w:r>
      <w:r>
        <w:rPr>
          <w:rFonts w:ascii="Calibri" w:hAnsi="Calibri" w:cs="Calibri"/>
          <w:iCs/>
          <w:sz w:val="22"/>
          <w:szCs w:val="22"/>
        </w:rPr>
        <w:t>/202</w:t>
      </w:r>
      <w:r w:rsidR="00505C6E">
        <w:rPr>
          <w:rFonts w:ascii="Calibri" w:hAnsi="Calibri" w:cs="Calibri"/>
          <w:iCs/>
          <w:sz w:val="22"/>
          <w:szCs w:val="22"/>
        </w:rPr>
        <w:t>4</w:t>
      </w:r>
      <w:r>
        <w:rPr>
          <w:rFonts w:ascii="Calibri" w:hAnsi="Calibri" w:cs="Calibri"/>
          <w:iCs/>
          <w:sz w:val="22"/>
          <w:szCs w:val="22"/>
        </w:rPr>
        <w:t xml:space="preserve"> godine u iznosu od </w:t>
      </w:r>
      <w:r w:rsidR="00505C6E" w:rsidRPr="00287B96">
        <w:rPr>
          <w:rFonts w:ascii="Calibri" w:hAnsi="Calibri" w:cs="Calibri"/>
          <w:b/>
          <w:iCs/>
          <w:sz w:val="22"/>
          <w:szCs w:val="22"/>
        </w:rPr>
        <w:t>1.824.069,65</w:t>
      </w:r>
      <w:r w:rsidR="00861321" w:rsidRPr="00287B96">
        <w:rPr>
          <w:rFonts w:ascii="Calibri" w:hAnsi="Calibri" w:cs="Calibri"/>
          <w:iCs/>
          <w:sz w:val="22"/>
          <w:szCs w:val="22"/>
        </w:rPr>
        <w:t xml:space="preserve"> </w:t>
      </w:r>
      <w:r w:rsidR="00861321" w:rsidRPr="00287B96">
        <w:rPr>
          <w:rFonts w:ascii="Calibri" w:hAnsi="Calibri" w:cs="Calibri"/>
          <w:b/>
          <w:iCs/>
          <w:sz w:val="22"/>
          <w:szCs w:val="22"/>
        </w:rPr>
        <w:t>eura</w:t>
      </w:r>
      <w:r w:rsidRPr="00287B96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što predstavlja izvršenje od </w:t>
      </w:r>
      <w:r w:rsidR="00505C6E">
        <w:rPr>
          <w:rFonts w:ascii="Calibri" w:hAnsi="Calibri" w:cs="Calibri"/>
          <w:iCs/>
          <w:sz w:val="22"/>
          <w:szCs w:val="22"/>
        </w:rPr>
        <w:t>59,7</w:t>
      </w:r>
      <w:r>
        <w:rPr>
          <w:rFonts w:ascii="Calibri" w:hAnsi="Calibri" w:cs="Calibri"/>
          <w:iCs/>
          <w:sz w:val="22"/>
          <w:szCs w:val="22"/>
        </w:rPr>
        <w:t>% u odnosu na plan, a u odnosu na isto razdoblje 202</w:t>
      </w:r>
      <w:r w:rsidR="00505C6E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iCs/>
          <w:sz w:val="22"/>
          <w:szCs w:val="22"/>
        </w:rPr>
        <w:t xml:space="preserve">. godine </w:t>
      </w:r>
      <w:r w:rsidR="00861338">
        <w:rPr>
          <w:rFonts w:ascii="Calibri" w:hAnsi="Calibri" w:cs="Calibri"/>
          <w:iCs/>
          <w:sz w:val="22"/>
          <w:szCs w:val="22"/>
        </w:rPr>
        <w:t>povećanje od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505C6E">
        <w:rPr>
          <w:rFonts w:ascii="Calibri" w:hAnsi="Calibri" w:cs="Calibri"/>
          <w:iCs/>
          <w:sz w:val="22"/>
          <w:szCs w:val="22"/>
        </w:rPr>
        <w:t>77,8</w:t>
      </w:r>
      <w:r w:rsidR="00411967">
        <w:rPr>
          <w:rFonts w:ascii="Calibri" w:hAnsi="Calibri" w:cs="Calibri"/>
          <w:iCs/>
          <w:sz w:val="22"/>
          <w:szCs w:val="22"/>
        </w:rPr>
        <w:t>% iz razloga gradnje novog groblja u Preku.</w:t>
      </w:r>
    </w:p>
    <w:p w:rsidR="00F87562" w:rsidRDefault="00F87562" w:rsidP="00861338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861338">
        <w:rPr>
          <w:rFonts w:ascii="Calibri" w:hAnsi="Calibri" w:cs="Calibri"/>
          <w:b/>
          <w:iCs/>
          <w:sz w:val="22"/>
          <w:szCs w:val="22"/>
        </w:rPr>
        <w:t>IZDACI ZA FINANC</w:t>
      </w:r>
      <w:r w:rsidR="00216FB0">
        <w:rPr>
          <w:rFonts w:ascii="Calibri" w:hAnsi="Calibri" w:cs="Calibri"/>
          <w:b/>
          <w:iCs/>
          <w:sz w:val="22"/>
          <w:szCs w:val="22"/>
        </w:rPr>
        <w:t xml:space="preserve">IJSKU IMOVINU I OTPLATE ZAJMOVA </w:t>
      </w:r>
      <w:r w:rsidRPr="00861338">
        <w:rPr>
          <w:rFonts w:ascii="Calibri" w:hAnsi="Calibri" w:cs="Calibri"/>
          <w:b/>
          <w:iCs/>
          <w:sz w:val="22"/>
          <w:szCs w:val="22"/>
        </w:rPr>
        <w:t>(šifra 5)</w:t>
      </w:r>
      <w:r w:rsidRPr="00861338">
        <w:rPr>
          <w:rFonts w:ascii="Calibri" w:hAnsi="Calibri" w:cs="Calibri"/>
          <w:iCs/>
          <w:sz w:val="22"/>
          <w:szCs w:val="22"/>
        </w:rPr>
        <w:t xml:space="preserve"> </w:t>
      </w:r>
      <w:r w:rsidR="00287B96">
        <w:rPr>
          <w:rFonts w:ascii="Calibri" w:hAnsi="Calibri" w:cs="Calibri"/>
          <w:iCs/>
          <w:sz w:val="22"/>
          <w:szCs w:val="22"/>
        </w:rPr>
        <w:t xml:space="preserve">– </w:t>
      </w:r>
      <w:r>
        <w:rPr>
          <w:rFonts w:ascii="Calibri" w:hAnsi="Calibri" w:cs="Calibri"/>
          <w:iCs/>
          <w:sz w:val="22"/>
          <w:szCs w:val="22"/>
        </w:rPr>
        <w:t xml:space="preserve">izvršeni su u iznosu od </w:t>
      </w:r>
      <w:r w:rsidR="00287B96">
        <w:rPr>
          <w:rFonts w:ascii="Calibri" w:hAnsi="Calibri" w:cs="Calibri"/>
          <w:b/>
          <w:iCs/>
          <w:sz w:val="22"/>
          <w:szCs w:val="22"/>
        </w:rPr>
        <w:t>14.615,73</w:t>
      </w:r>
      <w:r w:rsidR="00B05022" w:rsidRPr="00287B96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Pr="00287B96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što predstavlja izvršenje od </w:t>
      </w:r>
      <w:r w:rsidR="00287B96">
        <w:rPr>
          <w:rFonts w:ascii="Calibri" w:hAnsi="Calibri" w:cs="Calibri"/>
          <w:iCs/>
          <w:sz w:val="22"/>
          <w:szCs w:val="22"/>
        </w:rPr>
        <w:t>35,2</w:t>
      </w:r>
      <w:r>
        <w:rPr>
          <w:rFonts w:ascii="Calibri" w:hAnsi="Calibri" w:cs="Calibri"/>
          <w:iCs/>
          <w:sz w:val="22"/>
          <w:szCs w:val="22"/>
        </w:rPr>
        <w:t xml:space="preserve">% u odnosu na planirano i </w:t>
      </w:r>
      <w:r w:rsidR="00287B96">
        <w:rPr>
          <w:rFonts w:ascii="Calibri" w:hAnsi="Calibri" w:cs="Calibri"/>
          <w:iCs/>
          <w:sz w:val="22"/>
          <w:szCs w:val="22"/>
        </w:rPr>
        <w:t>povećanje</w:t>
      </w:r>
      <w:r w:rsidR="00B05022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za </w:t>
      </w:r>
      <w:r w:rsidR="00287B96">
        <w:rPr>
          <w:rFonts w:ascii="Calibri" w:hAnsi="Calibri" w:cs="Calibri"/>
          <w:iCs/>
          <w:sz w:val="22"/>
          <w:szCs w:val="22"/>
        </w:rPr>
        <w:t>45,2</w:t>
      </w:r>
      <w:r>
        <w:rPr>
          <w:rFonts w:ascii="Calibri" w:hAnsi="Calibri" w:cs="Calibri"/>
          <w:iCs/>
          <w:sz w:val="22"/>
          <w:szCs w:val="22"/>
        </w:rPr>
        <w:t>% u odnosu na isto razdoblje 202</w:t>
      </w:r>
      <w:r w:rsidR="00287B96">
        <w:rPr>
          <w:rFonts w:ascii="Calibri" w:hAnsi="Calibri" w:cs="Calibri"/>
          <w:iCs/>
          <w:sz w:val="22"/>
          <w:szCs w:val="22"/>
        </w:rPr>
        <w:t>3</w:t>
      </w:r>
      <w:r>
        <w:rPr>
          <w:rFonts w:ascii="Calibri" w:hAnsi="Calibri" w:cs="Calibri"/>
          <w:iCs/>
          <w:sz w:val="22"/>
          <w:szCs w:val="22"/>
        </w:rPr>
        <w:t>. godine.</w:t>
      </w:r>
    </w:p>
    <w:p w:rsidR="00C7661E" w:rsidRDefault="00C7661E" w:rsidP="00327BD0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Pr="00BB306D" w:rsidRDefault="00BB306D" w:rsidP="008E1009">
      <w:pPr>
        <w:pStyle w:val="Tijeloteksta"/>
        <w:numPr>
          <w:ilvl w:val="0"/>
          <w:numId w:val="1"/>
        </w:numPr>
        <w:rPr>
          <w:rFonts w:ascii="Calibri" w:hAnsi="Calibri" w:cs="Calibri"/>
          <w:b/>
          <w:iCs/>
          <w:sz w:val="22"/>
          <w:szCs w:val="22"/>
        </w:rPr>
      </w:pPr>
      <w:r w:rsidRPr="00BB306D">
        <w:rPr>
          <w:rFonts w:ascii="Calibri" w:hAnsi="Calibri" w:cs="Calibri"/>
          <w:b/>
          <w:iCs/>
          <w:sz w:val="22"/>
          <w:szCs w:val="22"/>
        </w:rPr>
        <w:t>STANJ</w:t>
      </w:r>
      <w:r w:rsidR="00C47F6E">
        <w:rPr>
          <w:rFonts w:ascii="Calibri" w:hAnsi="Calibri" w:cs="Calibri"/>
          <w:b/>
          <w:iCs/>
          <w:sz w:val="22"/>
          <w:szCs w:val="22"/>
        </w:rPr>
        <w:t>E</w:t>
      </w:r>
      <w:r w:rsidRPr="00BB306D">
        <w:rPr>
          <w:rFonts w:ascii="Calibri" w:hAnsi="Calibri" w:cs="Calibri"/>
          <w:b/>
          <w:iCs/>
          <w:sz w:val="22"/>
          <w:szCs w:val="22"/>
        </w:rPr>
        <w:t xml:space="preserve"> NOVČANIH SREDSTAVA NA RAČUNIMA I U BLAGAJNI </w:t>
      </w: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Stanje novčanih sredstava na dan </w:t>
      </w:r>
      <w:r w:rsidR="00C274CF">
        <w:rPr>
          <w:rFonts w:ascii="Calibri" w:hAnsi="Calibri" w:cs="Calibri"/>
          <w:iCs/>
          <w:sz w:val="22"/>
          <w:szCs w:val="22"/>
        </w:rPr>
        <w:t>31.12</w:t>
      </w:r>
      <w:r>
        <w:rPr>
          <w:rFonts w:ascii="Calibri" w:hAnsi="Calibri" w:cs="Calibri"/>
          <w:iCs/>
          <w:sz w:val="22"/>
          <w:szCs w:val="22"/>
        </w:rPr>
        <w:t>.</w:t>
      </w:r>
      <w:r w:rsidR="00C274CF">
        <w:rPr>
          <w:rFonts w:ascii="Calibri" w:hAnsi="Calibri" w:cs="Calibri"/>
          <w:iCs/>
          <w:sz w:val="22"/>
          <w:szCs w:val="22"/>
        </w:rPr>
        <w:t>202</w:t>
      </w:r>
      <w:r w:rsidR="005764F0">
        <w:rPr>
          <w:rFonts w:ascii="Calibri" w:hAnsi="Calibri" w:cs="Calibri"/>
          <w:iCs/>
          <w:sz w:val="22"/>
          <w:szCs w:val="22"/>
        </w:rPr>
        <w:t>4</w:t>
      </w:r>
      <w:r w:rsidR="00C274CF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 xml:space="preserve"> je bilo:</w:t>
      </w:r>
    </w:p>
    <w:p w:rsidR="00BB306D" w:rsidRDefault="00BB306D" w:rsidP="00BB306D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BB306D" w:rsidRDefault="00BB306D" w:rsidP="00BB306D">
      <w:pPr>
        <w:pStyle w:val="Tijeloteksta"/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Stanje novčanih sredstava u banci: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 w:rsidR="005764F0">
        <w:rPr>
          <w:rFonts w:ascii="Calibri" w:hAnsi="Calibri" w:cs="Calibri"/>
          <w:iCs/>
          <w:sz w:val="22"/>
          <w:szCs w:val="22"/>
        </w:rPr>
        <w:t>742.421,12</w:t>
      </w:r>
      <w:r w:rsidR="006C1408">
        <w:rPr>
          <w:rFonts w:ascii="Calibri" w:hAnsi="Calibri" w:cs="Calibri"/>
          <w:iCs/>
          <w:sz w:val="22"/>
          <w:szCs w:val="22"/>
        </w:rPr>
        <w:t xml:space="preserve"> eura</w:t>
      </w:r>
    </w:p>
    <w:p w:rsidR="00C7661E" w:rsidRDefault="00BB306D" w:rsidP="006C1408">
      <w:pPr>
        <w:pStyle w:val="Tijeloteksta"/>
        <w:numPr>
          <w:ilvl w:val="0"/>
          <w:numId w:val="3"/>
        </w:numPr>
        <w:rPr>
          <w:rFonts w:ascii="Calibri" w:hAnsi="Calibri" w:cs="Calibri"/>
          <w:iCs/>
          <w:sz w:val="22"/>
          <w:szCs w:val="22"/>
        </w:rPr>
      </w:pPr>
      <w:r w:rsidRPr="006C1408">
        <w:rPr>
          <w:rFonts w:ascii="Calibri" w:hAnsi="Calibri" w:cs="Calibri"/>
          <w:iCs/>
          <w:sz w:val="22"/>
          <w:szCs w:val="22"/>
        </w:rPr>
        <w:t>Stanje novčanih sredstava u blagajni:</w:t>
      </w:r>
      <w:r w:rsidRPr="006C1408">
        <w:rPr>
          <w:rFonts w:ascii="Calibri" w:hAnsi="Calibri" w:cs="Calibri"/>
          <w:iCs/>
          <w:sz w:val="22"/>
          <w:szCs w:val="22"/>
        </w:rPr>
        <w:tab/>
      </w:r>
      <w:r w:rsidR="006C1408">
        <w:rPr>
          <w:rFonts w:ascii="Calibri" w:hAnsi="Calibri" w:cs="Calibri"/>
          <w:iCs/>
          <w:sz w:val="22"/>
          <w:szCs w:val="22"/>
        </w:rPr>
        <w:tab/>
        <w:t xml:space="preserve">     </w:t>
      </w:r>
      <w:r w:rsidR="005764F0">
        <w:rPr>
          <w:rFonts w:ascii="Calibri" w:hAnsi="Calibri" w:cs="Calibri"/>
          <w:iCs/>
          <w:sz w:val="22"/>
          <w:szCs w:val="22"/>
        </w:rPr>
        <w:t>5.155,16</w:t>
      </w:r>
      <w:r w:rsidR="006C1408">
        <w:rPr>
          <w:rFonts w:ascii="Calibri" w:hAnsi="Calibri" w:cs="Calibri"/>
          <w:iCs/>
          <w:sz w:val="22"/>
          <w:szCs w:val="22"/>
        </w:rPr>
        <w:t xml:space="preserve"> eura</w:t>
      </w:r>
    </w:p>
    <w:p w:rsidR="006E00C1" w:rsidRPr="006C1408" w:rsidRDefault="006E00C1" w:rsidP="00C7661E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C274CF" w:rsidRPr="006E00C1" w:rsidRDefault="00C274CF" w:rsidP="00C274CF">
      <w:pPr>
        <w:pStyle w:val="Tijeloteksta"/>
        <w:numPr>
          <w:ilvl w:val="0"/>
          <w:numId w:val="1"/>
        </w:numPr>
        <w:rPr>
          <w:rFonts w:ascii="Calibri" w:hAnsi="Calibri" w:cs="Calibri"/>
          <w:b/>
          <w:iCs/>
          <w:sz w:val="22"/>
          <w:szCs w:val="22"/>
        </w:rPr>
      </w:pPr>
      <w:r w:rsidRPr="006E00C1">
        <w:rPr>
          <w:rFonts w:ascii="Calibri" w:hAnsi="Calibri" w:cs="Calibri"/>
          <w:b/>
          <w:iCs/>
          <w:sz w:val="22"/>
          <w:szCs w:val="22"/>
        </w:rPr>
        <w:t>BILJEŠKE UZ IZVJEŠTAJ - BILANCA</w:t>
      </w:r>
    </w:p>
    <w:p w:rsidR="00C274CF" w:rsidRDefault="00C274CF" w:rsidP="006E00C1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p w:rsidR="00C274CF" w:rsidRPr="00C274CF" w:rsidRDefault="00C274CF" w:rsidP="00C01631">
      <w:pPr>
        <w:widowControl w:val="0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hr-HR" w:bidi="hr-HR"/>
        </w:rPr>
      </w:pPr>
      <w:r w:rsidRPr="00C274CF">
        <w:rPr>
          <w:rFonts w:eastAsia="Times New Roman" w:cstheme="minorHAnsi"/>
          <w:color w:val="000000"/>
          <w:lang w:eastAsia="hr-HR" w:bidi="hr-HR"/>
        </w:rPr>
        <w:t xml:space="preserve">Bilanca je sustavni, vrijednosno iskazan pregled imovine, obveza i vlastitih izvora na određeni dan (za proračunsku godinu na dan 31. prosinca). </w:t>
      </w:r>
      <w:r w:rsidR="00C01631">
        <w:rPr>
          <w:rFonts w:eastAsia="Times New Roman" w:cstheme="minorHAnsi"/>
          <w:color w:val="000000"/>
          <w:lang w:eastAsia="hr-HR" w:bidi="hr-HR"/>
        </w:rPr>
        <w:t>Bilanca je u ravnoteži</w:t>
      </w:r>
      <w:r w:rsidRPr="00C274CF">
        <w:rPr>
          <w:rFonts w:eastAsia="Times New Roman" w:cstheme="minorHAnsi"/>
          <w:color w:val="000000"/>
          <w:lang w:eastAsia="hr-HR" w:bidi="hr-HR"/>
        </w:rPr>
        <w:t xml:space="preserve"> </w:t>
      </w:r>
      <w:r w:rsidR="00C01631">
        <w:rPr>
          <w:rFonts w:eastAsia="Times New Roman" w:cstheme="minorHAnsi"/>
          <w:color w:val="000000"/>
          <w:lang w:eastAsia="hr-HR" w:bidi="hr-HR"/>
        </w:rPr>
        <w:t>kada je imovina jednaka izvorima te imovine.</w:t>
      </w:r>
      <w:r w:rsidRPr="00C274CF">
        <w:rPr>
          <w:rFonts w:eastAsia="Times New Roman" w:cstheme="minorHAnsi"/>
          <w:color w:val="000000"/>
          <w:lang w:eastAsia="hr-HR" w:bidi="hr-HR"/>
        </w:rPr>
        <w:t xml:space="preserve"> Imovina se odnosi na nefinancijsku i financijsku imovinu.</w:t>
      </w:r>
    </w:p>
    <w:p w:rsidR="00C4509D" w:rsidRDefault="00C4509D" w:rsidP="00C7661E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p w:rsidR="007F76F8" w:rsidRPr="00C7661E" w:rsidRDefault="00C7661E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0000FF"/>
          <w:sz w:val="22"/>
          <w:szCs w:val="22"/>
        </w:rPr>
      </w:pPr>
      <w:r w:rsidRPr="00C7661E">
        <w:rPr>
          <w:rFonts w:ascii="Calibri" w:hAnsi="Calibri" w:cs="Calibri"/>
          <w:b/>
          <w:iCs/>
          <w:color w:val="0000FF"/>
          <w:sz w:val="22"/>
          <w:szCs w:val="22"/>
        </w:rPr>
        <w:t>NEFINANCIJSKA IMOVINA (šifra B002)</w:t>
      </w:r>
      <w:r w:rsidR="007F76F8" w:rsidRPr="00C7661E">
        <w:rPr>
          <w:rFonts w:ascii="Calibri" w:hAnsi="Calibri" w:cs="Calibri"/>
          <w:b/>
          <w:iCs/>
          <w:color w:val="0000FF"/>
          <w:sz w:val="22"/>
          <w:szCs w:val="22"/>
        </w:rPr>
        <w:t xml:space="preserve"> </w:t>
      </w:r>
    </w:p>
    <w:p w:rsidR="007F76F8" w:rsidRPr="000D70FD" w:rsidRDefault="007F76F8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sz w:val="22"/>
          <w:szCs w:val="22"/>
        </w:rPr>
      </w:pPr>
      <w:r w:rsidRPr="000D70FD">
        <w:rPr>
          <w:rFonts w:ascii="Calibri" w:hAnsi="Calibri" w:cs="Calibri"/>
          <w:b/>
          <w:iCs/>
          <w:sz w:val="22"/>
          <w:szCs w:val="22"/>
        </w:rPr>
        <w:t>Ukupna nefinancijska imovina Općine Preko se povećala za ulaganja na imovini</w:t>
      </w:r>
      <w:r w:rsidR="00E36790">
        <w:rPr>
          <w:rFonts w:ascii="Calibri" w:hAnsi="Calibri" w:cs="Calibri"/>
          <w:b/>
          <w:iCs/>
          <w:sz w:val="22"/>
          <w:szCs w:val="22"/>
        </w:rPr>
        <w:t xml:space="preserve"> u iznosu od </w:t>
      </w:r>
      <w:r w:rsidR="00B56231">
        <w:rPr>
          <w:rFonts w:ascii="Calibri" w:hAnsi="Calibri" w:cs="Calibri"/>
          <w:b/>
          <w:iCs/>
          <w:sz w:val="22"/>
          <w:szCs w:val="22"/>
        </w:rPr>
        <w:t>428.905,35</w:t>
      </w:r>
      <w:r w:rsidR="00E36790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Pr="000D70FD">
        <w:rPr>
          <w:rFonts w:ascii="Calibri" w:hAnsi="Calibri" w:cs="Calibri"/>
          <w:b/>
          <w:iCs/>
          <w:sz w:val="22"/>
          <w:szCs w:val="22"/>
        </w:rPr>
        <w:t xml:space="preserve"> i to:</w:t>
      </w:r>
    </w:p>
    <w:p w:rsidR="00C7661E" w:rsidRDefault="00C7661E" w:rsidP="008E73F1">
      <w:pPr>
        <w:pStyle w:val="Odlomakpopisa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lang w:eastAsia="hr-HR"/>
        </w:rPr>
      </w:pPr>
      <w:r w:rsidRPr="00C7661E">
        <w:rPr>
          <w:rFonts w:cstheme="minorHAnsi"/>
          <w:iCs/>
        </w:rPr>
        <w:t>n</w:t>
      </w:r>
      <w:r w:rsidR="007F76F8" w:rsidRPr="00C7661E">
        <w:rPr>
          <w:rFonts w:cstheme="minorHAnsi"/>
          <w:iCs/>
        </w:rPr>
        <w:t xml:space="preserve">abavu zemljišta (izvlaštenje) u svrhu </w:t>
      </w:r>
      <w:r w:rsidRPr="00C7661E">
        <w:rPr>
          <w:rFonts w:eastAsia="Times New Roman" w:cstheme="minorHAnsi"/>
          <w:iCs/>
          <w:lang w:eastAsia="hr-HR"/>
        </w:rPr>
        <w:t xml:space="preserve">izgradnje ceste u zoni Mačjak – Šumljak u iznosu od </w:t>
      </w:r>
      <w:r w:rsidR="006355EC">
        <w:rPr>
          <w:rFonts w:eastAsia="Times New Roman" w:cstheme="minorHAnsi"/>
          <w:iCs/>
          <w:lang w:eastAsia="hr-HR"/>
        </w:rPr>
        <w:t>47.139,27 eura i nabavu zemljišta za proširenje groblja u mjestu Ugljan u iznosu od 143.370,00 eura,</w:t>
      </w:r>
    </w:p>
    <w:p w:rsidR="00B56231" w:rsidRPr="00C7661E" w:rsidRDefault="00B56231" w:rsidP="008E73F1">
      <w:pPr>
        <w:pStyle w:val="Odlomakpopisa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lang w:eastAsia="hr-HR"/>
        </w:rPr>
      </w:pPr>
      <w:r>
        <w:rPr>
          <w:rFonts w:eastAsia="Times New Roman" w:cstheme="minorHAnsi"/>
          <w:iCs/>
          <w:lang w:eastAsia="hr-HR"/>
        </w:rPr>
        <w:t>nabavu licenci u iznosu od 4.369,50 eura,</w:t>
      </w:r>
    </w:p>
    <w:p w:rsidR="007F76F8" w:rsidRPr="00C7661E" w:rsidRDefault="00C7661E" w:rsidP="008E73F1">
      <w:pPr>
        <w:pStyle w:val="Odlomakpopisa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</w:t>
      </w:r>
      <w:r w:rsidR="007F76F8" w:rsidRPr="00C7661E">
        <w:rPr>
          <w:rFonts w:ascii="Calibri" w:hAnsi="Calibri" w:cs="Calibri"/>
          <w:iCs/>
        </w:rPr>
        <w:t xml:space="preserve">abavu </w:t>
      </w:r>
      <w:r w:rsidR="008E73F1">
        <w:rPr>
          <w:rFonts w:ascii="Calibri" w:hAnsi="Calibri" w:cs="Calibri"/>
          <w:iCs/>
        </w:rPr>
        <w:t>prodajnih modula</w:t>
      </w:r>
      <w:r w:rsidR="007F76F8" w:rsidRPr="00C7661E">
        <w:rPr>
          <w:rFonts w:ascii="Calibri" w:hAnsi="Calibri" w:cs="Calibri"/>
          <w:iCs/>
        </w:rPr>
        <w:t xml:space="preserve"> u iznosu od </w:t>
      </w:r>
      <w:r w:rsidR="008E73F1">
        <w:rPr>
          <w:rFonts w:ascii="Calibri" w:hAnsi="Calibri" w:cs="Calibri"/>
          <w:iCs/>
        </w:rPr>
        <w:t>32.437,50</w:t>
      </w:r>
      <w:r>
        <w:rPr>
          <w:rFonts w:ascii="Calibri" w:hAnsi="Calibri" w:cs="Calibri"/>
          <w:iCs/>
        </w:rPr>
        <w:t xml:space="preserve"> eura</w:t>
      </w:r>
      <w:r w:rsidR="007F76F8" w:rsidRPr="00C7661E">
        <w:rPr>
          <w:rFonts w:ascii="Calibri" w:hAnsi="Calibri" w:cs="Calibri"/>
          <w:iCs/>
        </w:rPr>
        <w:t>,</w:t>
      </w:r>
    </w:p>
    <w:p w:rsidR="007F76F8" w:rsidRDefault="00C7661E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nabavu </w:t>
      </w:r>
      <w:r w:rsidR="008E73F1">
        <w:rPr>
          <w:rFonts w:ascii="Calibri" w:hAnsi="Calibri" w:cs="Calibri"/>
          <w:iCs/>
          <w:sz w:val="22"/>
          <w:szCs w:val="22"/>
        </w:rPr>
        <w:t>2 stolna računala s opremom u iznosu od 6.93</w:t>
      </w:r>
      <w:r w:rsidR="006355EC">
        <w:rPr>
          <w:rFonts w:ascii="Calibri" w:hAnsi="Calibri" w:cs="Calibri"/>
          <w:iCs/>
          <w:sz w:val="22"/>
          <w:szCs w:val="22"/>
        </w:rPr>
        <w:t>1</w:t>
      </w:r>
      <w:r w:rsidR="008E73F1">
        <w:rPr>
          <w:rFonts w:ascii="Calibri" w:hAnsi="Calibri" w:cs="Calibri"/>
          <w:iCs/>
          <w:sz w:val="22"/>
          <w:szCs w:val="22"/>
        </w:rPr>
        <w:t>,00 eura</w:t>
      </w:r>
      <w:r w:rsidR="007F76F8">
        <w:rPr>
          <w:rFonts w:ascii="Calibri" w:hAnsi="Calibri" w:cs="Calibri"/>
          <w:iCs/>
          <w:sz w:val="22"/>
          <w:szCs w:val="22"/>
        </w:rPr>
        <w:t>,</w:t>
      </w:r>
    </w:p>
    <w:p w:rsidR="006355EC" w:rsidRPr="006355EC" w:rsidRDefault="006355EC" w:rsidP="006355EC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glavnog servera Općine Preko u iznosu od 8.598,38 eura,</w:t>
      </w:r>
    </w:p>
    <w:p w:rsidR="006355EC" w:rsidRDefault="006355EC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uredske opreme</w:t>
      </w:r>
      <w:r w:rsidR="00E36790">
        <w:rPr>
          <w:rFonts w:ascii="Calibri" w:hAnsi="Calibri" w:cs="Calibri"/>
          <w:iCs/>
          <w:sz w:val="22"/>
          <w:szCs w:val="22"/>
        </w:rPr>
        <w:t>, projektora i glazbene linije</w:t>
      </w:r>
      <w:r>
        <w:rPr>
          <w:rFonts w:ascii="Calibri" w:hAnsi="Calibri" w:cs="Calibri"/>
          <w:iCs/>
          <w:sz w:val="22"/>
          <w:szCs w:val="22"/>
        </w:rPr>
        <w:t xml:space="preserve"> za potrebe Turističkog ureda Ugljan u iznosu od </w:t>
      </w:r>
      <w:r w:rsidR="00E36790">
        <w:rPr>
          <w:rFonts w:ascii="Calibri" w:hAnsi="Calibri" w:cs="Calibri"/>
          <w:iCs/>
          <w:sz w:val="22"/>
          <w:szCs w:val="22"/>
        </w:rPr>
        <w:t>7.683,75</w:t>
      </w:r>
      <w:r>
        <w:rPr>
          <w:rFonts w:ascii="Calibri" w:hAnsi="Calibri" w:cs="Calibri"/>
          <w:iCs/>
          <w:sz w:val="22"/>
          <w:szCs w:val="22"/>
        </w:rPr>
        <w:t xml:space="preserve"> eura,</w:t>
      </w:r>
    </w:p>
    <w:p w:rsidR="00FF4AD0" w:rsidRDefault="00FF4AD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FF4AD0">
        <w:rPr>
          <w:rFonts w:ascii="Calibri" w:hAnsi="Calibri" w:cs="Calibri"/>
          <w:iCs/>
          <w:sz w:val="22"/>
          <w:szCs w:val="22"/>
        </w:rPr>
        <w:t>nabavu senzora za zrak u iznosu od 32.375,00 eura i senzora za parking u iznosu od 32.437,50 eura u svrhu provođenja projekta „Pametne općine i gradovi“</w:t>
      </w:r>
      <w:r>
        <w:rPr>
          <w:rFonts w:ascii="Calibri" w:hAnsi="Calibri" w:cs="Calibri"/>
          <w:iCs/>
          <w:sz w:val="22"/>
          <w:szCs w:val="22"/>
        </w:rPr>
        <w:t>,</w:t>
      </w:r>
    </w:p>
    <w:p w:rsidR="008766AC" w:rsidRDefault="00092EEB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FF4AD0">
        <w:rPr>
          <w:rFonts w:ascii="Calibri" w:hAnsi="Calibri" w:cs="Calibri"/>
          <w:iCs/>
          <w:sz w:val="22"/>
          <w:szCs w:val="22"/>
        </w:rPr>
        <w:t>n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abavu opreme u svrhu </w:t>
      </w:r>
      <w:r w:rsidR="00FF4AD0">
        <w:rPr>
          <w:rFonts w:ascii="Calibri" w:hAnsi="Calibri" w:cs="Calibri"/>
          <w:iCs/>
          <w:sz w:val="22"/>
          <w:szCs w:val="22"/>
        </w:rPr>
        <w:t xml:space="preserve">provođenja projekta 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sigurnosti prometa </w:t>
      </w:r>
      <w:r w:rsidRPr="00FF4AD0">
        <w:rPr>
          <w:rFonts w:ascii="Calibri" w:hAnsi="Calibri" w:cs="Calibri"/>
          <w:iCs/>
          <w:sz w:val="22"/>
          <w:szCs w:val="22"/>
        </w:rPr>
        <w:t xml:space="preserve">i regulacije parkiranja </w:t>
      </w:r>
      <w:r w:rsidR="008766AC" w:rsidRPr="00FF4AD0">
        <w:rPr>
          <w:rFonts w:ascii="Calibri" w:hAnsi="Calibri" w:cs="Calibri"/>
          <w:iCs/>
          <w:sz w:val="22"/>
          <w:szCs w:val="22"/>
        </w:rPr>
        <w:t xml:space="preserve">u iznosu od </w:t>
      </w:r>
      <w:r w:rsidR="00E36790">
        <w:rPr>
          <w:rFonts w:ascii="Calibri" w:hAnsi="Calibri" w:cs="Calibri"/>
          <w:iCs/>
          <w:sz w:val="22"/>
          <w:szCs w:val="22"/>
        </w:rPr>
        <w:t>53.121,25</w:t>
      </w:r>
      <w:r w:rsidR="00FF4AD0">
        <w:rPr>
          <w:rFonts w:ascii="Calibri" w:hAnsi="Calibri" w:cs="Calibri"/>
          <w:iCs/>
          <w:sz w:val="22"/>
          <w:szCs w:val="22"/>
        </w:rPr>
        <w:t xml:space="preserve"> eura</w:t>
      </w:r>
      <w:r w:rsidRPr="00FF4AD0">
        <w:rPr>
          <w:rFonts w:ascii="Calibri" w:hAnsi="Calibri" w:cs="Calibri"/>
          <w:iCs/>
          <w:sz w:val="22"/>
          <w:szCs w:val="22"/>
        </w:rPr>
        <w:t xml:space="preserve">, </w:t>
      </w:r>
    </w:p>
    <w:p w:rsidR="00E36790" w:rsidRDefault="00E3679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sanitarnog kontejnera u iznosu od 7.437,50 eura,</w:t>
      </w:r>
    </w:p>
    <w:p w:rsidR="00E36790" w:rsidRPr="00FF4AD0" w:rsidRDefault="00E36790" w:rsidP="003D1359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nabavu hladnjak za društveni dom u mjestu Poljana u iznosu od 511,20 eura,</w:t>
      </w:r>
    </w:p>
    <w:p w:rsidR="00092EEB" w:rsidRDefault="00092EEB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nabavu spremnika za odvojeno prikupljanje otpada u iznosu od </w:t>
      </w:r>
      <w:r w:rsidR="002A50BB">
        <w:rPr>
          <w:rFonts w:ascii="Calibri" w:hAnsi="Calibri" w:cs="Calibri"/>
          <w:iCs/>
          <w:sz w:val="22"/>
          <w:szCs w:val="22"/>
        </w:rPr>
        <w:t>32.806,</w:t>
      </w:r>
      <w:r>
        <w:rPr>
          <w:rFonts w:ascii="Calibri" w:hAnsi="Calibri" w:cs="Calibri"/>
          <w:iCs/>
          <w:sz w:val="22"/>
          <w:szCs w:val="22"/>
        </w:rPr>
        <w:t>00 eura</w:t>
      </w:r>
    </w:p>
    <w:p w:rsidR="008766AC" w:rsidRDefault="008928DC" w:rsidP="008E73F1">
      <w:pPr>
        <w:pStyle w:val="Tijeloteksta"/>
        <w:numPr>
          <w:ilvl w:val="0"/>
          <w:numId w:val="7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</w:t>
      </w:r>
      <w:r w:rsidR="008766AC">
        <w:rPr>
          <w:rFonts w:ascii="Calibri" w:hAnsi="Calibri" w:cs="Calibri"/>
          <w:iCs/>
          <w:sz w:val="22"/>
          <w:szCs w:val="22"/>
        </w:rPr>
        <w:t xml:space="preserve">abavu dokumenata prostornog uređenja (izrada </w:t>
      </w:r>
      <w:r w:rsidR="00092EEB">
        <w:rPr>
          <w:rFonts w:ascii="Calibri" w:hAnsi="Calibri" w:cs="Calibri"/>
          <w:iCs/>
          <w:sz w:val="22"/>
          <w:szCs w:val="22"/>
        </w:rPr>
        <w:t>izmjena i dopuna</w:t>
      </w:r>
      <w:r w:rsidR="008766AC">
        <w:rPr>
          <w:rFonts w:ascii="Calibri" w:hAnsi="Calibri" w:cs="Calibri"/>
          <w:iCs/>
          <w:sz w:val="22"/>
          <w:szCs w:val="22"/>
        </w:rPr>
        <w:t xml:space="preserve"> PPUO Općine Preko) u iznosu od </w:t>
      </w:r>
      <w:r w:rsidR="002A50BB">
        <w:rPr>
          <w:rFonts w:ascii="Calibri" w:hAnsi="Calibri" w:cs="Calibri"/>
          <w:iCs/>
          <w:sz w:val="22"/>
          <w:szCs w:val="22"/>
        </w:rPr>
        <w:t>19.687,50</w:t>
      </w:r>
      <w:r w:rsidR="00092EEB">
        <w:rPr>
          <w:rFonts w:ascii="Calibri" w:hAnsi="Calibri" w:cs="Calibri"/>
          <w:iCs/>
          <w:sz w:val="22"/>
          <w:szCs w:val="22"/>
        </w:rPr>
        <w:t xml:space="preserve"> eura</w:t>
      </w:r>
      <w:r>
        <w:rPr>
          <w:rFonts w:ascii="Calibri" w:hAnsi="Calibri" w:cs="Calibri"/>
          <w:iCs/>
          <w:sz w:val="22"/>
          <w:szCs w:val="22"/>
        </w:rPr>
        <w:t xml:space="preserve"> te</w:t>
      </w:r>
    </w:p>
    <w:p w:rsidR="008928DC" w:rsidRPr="000D70FD" w:rsidRDefault="008928DC" w:rsidP="008E73F1">
      <w:pPr>
        <w:pStyle w:val="Tijeloteksta"/>
        <w:spacing w:line="276" w:lineRule="auto"/>
        <w:ind w:left="360"/>
        <w:rPr>
          <w:rFonts w:ascii="Calibri" w:hAnsi="Calibri" w:cs="Calibri"/>
          <w:b/>
          <w:iCs/>
          <w:sz w:val="22"/>
          <w:szCs w:val="22"/>
        </w:rPr>
      </w:pPr>
      <w:r w:rsidRPr="000D70FD">
        <w:rPr>
          <w:rFonts w:ascii="Calibri" w:hAnsi="Calibri" w:cs="Calibri"/>
          <w:b/>
          <w:iCs/>
          <w:sz w:val="22"/>
          <w:szCs w:val="22"/>
        </w:rPr>
        <w:t xml:space="preserve">Ukupna nefinancijska imovina Općine Preko u pripremi povećala se za </w:t>
      </w:r>
      <w:r w:rsidR="00B56231">
        <w:rPr>
          <w:rFonts w:ascii="Calibri" w:hAnsi="Calibri" w:cs="Calibri"/>
          <w:b/>
          <w:iCs/>
          <w:sz w:val="22"/>
          <w:szCs w:val="22"/>
        </w:rPr>
        <w:t xml:space="preserve">1.702.404,33 eura </w:t>
      </w:r>
      <w:r w:rsidRPr="000D70FD">
        <w:rPr>
          <w:rFonts w:ascii="Calibri" w:hAnsi="Calibri" w:cs="Calibri"/>
          <w:b/>
          <w:iCs/>
          <w:sz w:val="22"/>
          <w:szCs w:val="22"/>
        </w:rPr>
        <w:t>ulaganja i to:</w:t>
      </w:r>
    </w:p>
    <w:p w:rsidR="008928DC" w:rsidRPr="005A1927" w:rsidRDefault="008928DC" w:rsidP="008E73F1">
      <w:pPr>
        <w:pStyle w:val="Tijeloteksta"/>
        <w:numPr>
          <w:ilvl w:val="0"/>
          <w:numId w:val="16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5A1927">
        <w:rPr>
          <w:rFonts w:ascii="Calibri" w:hAnsi="Calibri" w:cs="Calibri"/>
          <w:iCs/>
          <w:sz w:val="22"/>
          <w:szCs w:val="22"/>
        </w:rPr>
        <w:t xml:space="preserve">izgradnju poslovnih objekata u iznosu od </w:t>
      </w:r>
      <w:r w:rsidR="009C0B6C" w:rsidRPr="005A1927">
        <w:rPr>
          <w:rFonts w:ascii="Calibri" w:hAnsi="Calibri" w:cs="Calibri"/>
          <w:iCs/>
          <w:sz w:val="22"/>
          <w:szCs w:val="22"/>
        </w:rPr>
        <w:t>327.</w:t>
      </w:r>
      <w:r w:rsidR="00B56231">
        <w:rPr>
          <w:rFonts w:ascii="Calibri" w:hAnsi="Calibri" w:cs="Calibri"/>
          <w:iCs/>
          <w:sz w:val="22"/>
          <w:szCs w:val="22"/>
        </w:rPr>
        <w:t>343,77</w:t>
      </w:r>
      <w:r w:rsidRPr="005A1927">
        <w:rPr>
          <w:rFonts w:ascii="Calibri" w:hAnsi="Calibri" w:cs="Calibri"/>
          <w:iCs/>
          <w:sz w:val="22"/>
          <w:szCs w:val="22"/>
        </w:rPr>
        <w:t xml:space="preserve"> eura za:</w:t>
      </w:r>
    </w:p>
    <w:p w:rsidR="009C0B6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 xml:space="preserve">- </w:t>
      </w:r>
      <w:r w:rsidR="009C0B6C" w:rsidRPr="005A1927">
        <w:rPr>
          <w:rFonts w:ascii="Calibri" w:hAnsi="Calibri" w:cs="Calibri"/>
          <w:i/>
          <w:iCs/>
          <w:sz w:val="22"/>
          <w:szCs w:val="22"/>
        </w:rPr>
        <w:t xml:space="preserve">obnovu uljare na otoku Sestrunju, </w:t>
      </w:r>
    </w:p>
    <w:p w:rsidR="009C0B6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lastRenderedPageBreak/>
        <w:t>- izgradnju Društvenog doma u mjestu Lukoran</w:t>
      </w:r>
      <w:r w:rsidR="009C0B6C" w:rsidRPr="005A1927">
        <w:rPr>
          <w:rFonts w:ascii="Calibri" w:hAnsi="Calibri" w:cs="Calibri"/>
          <w:i/>
          <w:iCs/>
          <w:sz w:val="22"/>
          <w:szCs w:val="22"/>
        </w:rPr>
        <w:t xml:space="preserve"> te</w:t>
      </w:r>
    </w:p>
    <w:p w:rsidR="008928DC" w:rsidRPr="005A1927" w:rsidRDefault="008928DC" w:rsidP="008E73F1">
      <w:pPr>
        <w:pStyle w:val="Tijeloteksta"/>
        <w:spacing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>- rekonstrukciju Društvenog doma u mjestu Poljana</w:t>
      </w:r>
    </w:p>
    <w:p w:rsidR="00AB4F12" w:rsidRDefault="00AB4F12" w:rsidP="00AB4F12">
      <w:pPr>
        <w:pStyle w:val="Tijeloteksta"/>
        <w:numPr>
          <w:ilvl w:val="0"/>
          <w:numId w:val="16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izgradnju cesta i ostalih prometnih objekata na području Općine Preko u iznosu od 106.555,54 eura za: </w:t>
      </w:r>
    </w:p>
    <w:p w:rsid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="Calibri" w:hAnsi="Calibri" w:cs="Calibri"/>
          <w:i/>
          <w:iCs/>
          <w:sz w:val="22"/>
          <w:szCs w:val="22"/>
        </w:rPr>
        <w:t xml:space="preserve">- odvjetničke usluge za pripremu </w:t>
      </w:r>
      <w:r w:rsidR="00D43012" w:rsidRPr="005A1927">
        <w:rPr>
          <w:rFonts w:ascii="Calibri" w:hAnsi="Calibri" w:cs="Calibri"/>
          <w:i/>
          <w:iCs/>
          <w:sz w:val="22"/>
          <w:szCs w:val="22"/>
        </w:rPr>
        <w:t>izgradnj</w:t>
      </w:r>
      <w:r w:rsidRPr="005A1927">
        <w:rPr>
          <w:rFonts w:ascii="Calibri" w:hAnsi="Calibri" w:cs="Calibri"/>
          <w:i/>
          <w:iCs/>
          <w:sz w:val="22"/>
          <w:szCs w:val="22"/>
        </w:rPr>
        <w:t>e</w:t>
      </w:r>
      <w:r w:rsidR="00D43012" w:rsidRPr="005A19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43012"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ceste u zoni Mačjak – Šumljak 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- asfaltiranje cesta na </w:t>
      </w:r>
      <w:r w:rsidR="005A192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A1927">
        <w:rPr>
          <w:rFonts w:asciiTheme="minorHAnsi" w:hAnsiTheme="minorHAnsi" w:cstheme="minorHAnsi"/>
          <w:i/>
          <w:iCs/>
          <w:sz w:val="22"/>
          <w:szCs w:val="22"/>
        </w:rPr>
        <w:t xml:space="preserve">području Općine Preko te 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izradu glavnog projekta za izgradnju nerazvrstanih cesta na području Općine Preko</w:t>
      </w:r>
    </w:p>
    <w:p w:rsidR="00AB4F12" w:rsidRDefault="00AB4F12" w:rsidP="00AB4F12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izgradnju ostalih građevinskih objekata </w:t>
      </w:r>
      <w:r w:rsidR="005A1927">
        <w:rPr>
          <w:rFonts w:asciiTheme="minorHAnsi" w:hAnsiTheme="minorHAnsi" w:cstheme="minorHAnsi"/>
          <w:iCs/>
          <w:sz w:val="22"/>
          <w:szCs w:val="22"/>
        </w:rPr>
        <w:t xml:space="preserve">u iznosu od 41.805,00 </w:t>
      </w:r>
      <w:r>
        <w:rPr>
          <w:rFonts w:asciiTheme="minorHAnsi" w:hAnsiTheme="minorHAnsi" w:cstheme="minorHAnsi"/>
          <w:iCs/>
          <w:sz w:val="22"/>
          <w:szCs w:val="22"/>
        </w:rPr>
        <w:t>za: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projektnu dokumentaciju i troškovnik uređenja i sanacije plaže „Jugo“</w:t>
      </w:r>
    </w:p>
    <w:p w:rsidR="00AB4F12" w:rsidRPr="005A1927" w:rsidRDefault="00AB4F12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idejni projekt izgradnje Centra za umirovljenike u mjestu Preko</w:t>
      </w:r>
      <w:r w:rsidR="005A1927" w:rsidRPr="005A1927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:rsidR="005A1927" w:rsidRPr="005A1927" w:rsidRDefault="005A1927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idejni projekt i troškovnik uređenja zgrade MUP-a u mjestu Preko te</w:t>
      </w:r>
    </w:p>
    <w:p w:rsidR="005A1927" w:rsidRPr="005A1927" w:rsidRDefault="005A1927" w:rsidP="00AB4F12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studiju izvedivosti sunčane elektrane Ugljan 1 i 2</w:t>
      </w:r>
    </w:p>
    <w:p w:rsidR="005A1927" w:rsidRPr="00691BCC" w:rsidRDefault="005A1927" w:rsidP="005A1927">
      <w:pPr>
        <w:pStyle w:val="Tijeloteksta"/>
        <w:numPr>
          <w:ilvl w:val="0"/>
          <w:numId w:val="16"/>
        </w:num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izgradnju novog groblja u mjestu Preko u iznosu od 1.159.014,31 eura</w:t>
      </w:r>
    </w:p>
    <w:p w:rsidR="005A1927" w:rsidRDefault="005A1927" w:rsidP="005A1927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nabavu postrojenja i opreme u pripremi u iznosu od 55.972,85 eura za: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5A1927">
        <w:rPr>
          <w:rFonts w:asciiTheme="minorHAnsi" w:hAnsiTheme="minorHAnsi" w:cstheme="minorHAnsi"/>
          <w:i/>
          <w:iCs/>
          <w:sz w:val="22"/>
          <w:szCs w:val="22"/>
        </w:rPr>
        <w:t>izradu digitalnog ortofoto snimka i postavljanja u program WebGis,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projektora i platna za Društveni dom u Poljani te za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opreme za Društveni dom u Lukoranu</w:t>
      </w:r>
    </w:p>
    <w:p w:rsidR="005A1927" w:rsidRPr="005A1927" w:rsidRDefault="005A1927" w:rsidP="005A1927">
      <w:pPr>
        <w:pStyle w:val="Tijeloteksta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A1927">
        <w:rPr>
          <w:rFonts w:asciiTheme="minorHAnsi" w:hAnsiTheme="minorHAnsi" w:cstheme="minorHAnsi"/>
          <w:i/>
          <w:iCs/>
          <w:sz w:val="22"/>
          <w:szCs w:val="22"/>
        </w:rPr>
        <w:t>- nabavu božićne rasvjete</w:t>
      </w:r>
    </w:p>
    <w:p w:rsidR="005A1927" w:rsidRDefault="005A1927" w:rsidP="005A1927">
      <w:pPr>
        <w:pStyle w:val="Tijelotek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provođenje projekta „Thematic2Green“ u iznosu od 11.712,86 eura</w:t>
      </w:r>
    </w:p>
    <w:p w:rsidR="008A75BE" w:rsidRDefault="008A75BE" w:rsidP="008A75BE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A75BE">
        <w:rPr>
          <w:rFonts w:asciiTheme="minorHAnsi" w:hAnsiTheme="minorHAnsi" w:cstheme="minorHAnsi"/>
          <w:b/>
          <w:iCs/>
          <w:sz w:val="22"/>
          <w:szCs w:val="22"/>
        </w:rPr>
        <w:t>Ukupna potraživanja Općine Preko prema dospjelosti:</w:t>
      </w:r>
    </w:p>
    <w:p w:rsidR="008A75BE" w:rsidRPr="008A75BE" w:rsidRDefault="00332D95" w:rsidP="008A75BE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332D95">
        <w:drawing>
          <wp:inline distT="0" distB="0" distL="0" distR="0">
            <wp:extent cx="5760720" cy="1769304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62" w:rsidRPr="009658D4" w:rsidRDefault="00C30146" w:rsidP="00C30146">
      <w:pPr>
        <w:pStyle w:val="Tijeloteksta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658D4">
        <w:rPr>
          <w:rFonts w:asciiTheme="minorHAnsi" w:hAnsiTheme="minorHAnsi" w:cstheme="minorHAnsi"/>
          <w:b/>
          <w:iCs/>
          <w:sz w:val="22"/>
          <w:szCs w:val="22"/>
        </w:rPr>
        <w:t>Na dan 31.12.2024. godine, provedeno je usklađenje</w:t>
      </w:r>
      <w:r w:rsidR="00CA4E62" w:rsidRPr="009658D4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:rsidR="00C30146" w:rsidRDefault="00C30146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ukupne imovine Općine Preko sa izvorima te imovine</w:t>
      </w:r>
      <w:r w:rsidR="009658D4">
        <w:rPr>
          <w:rFonts w:asciiTheme="minorHAnsi" w:hAnsiTheme="minorHAnsi" w:cstheme="minorHAnsi"/>
          <w:iCs/>
          <w:sz w:val="22"/>
          <w:szCs w:val="22"/>
        </w:rPr>
        <w:t xml:space="preserve"> na </w:t>
      </w:r>
      <w:r>
        <w:rPr>
          <w:rFonts w:asciiTheme="minorHAnsi" w:hAnsiTheme="minorHAnsi" w:cstheme="minorHAnsi"/>
          <w:iCs/>
          <w:sz w:val="22"/>
          <w:szCs w:val="22"/>
        </w:rPr>
        <w:t>podskupin</w:t>
      </w:r>
      <w:r w:rsidR="009658D4">
        <w:rPr>
          <w:rFonts w:asciiTheme="minorHAnsi" w:hAnsiTheme="minorHAnsi" w:cstheme="minorHAnsi"/>
          <w:iCs/>
          <w:sz w:val="22"/>
          <w:szCs w:val="22"/>
        </w:rPr>
        <w:t>i</w:t>
      </w:r>
      <w:r>
        <w:rPr>
          <w:rFonts w:asciiTheme="minorHAnsi" w:hAnsiTheme="minorHAnsi" w:cstheme="minorHAnsi"/>
          <w:iCs/>
          <w:sz w:val="22"/>
          <w:szCs w:val="22"/>
        </w:rPr>
        <w:t xml:space="preserve"> 911, na način da je kao ispravan podatak uzeta ukupna vrijednost dugotrajne nefinancijske imovine na razredu – 0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, a </w:t>
      </w:r>
      <w:r w:rsidR="0015167F">
        <w:rPr>
          <w:rFonts w:asciiTheme="minorHAnsi" w:hAnsiTheme="minorHAnsi" w:cstheme="minorHAnsi"/>
          <w:iCs/>
          <w:sz w:val="22"/>
          <w:szCs w:val="22"/>
        </w:rPr>
        <w:t xml:space="preserve">nakon provedenog popisa imovine i obveza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te ispravka vrijednosti iste </w:t>
      </w:r>
      <w:r w:rsidR="0015167F">
        <w:rPr>
          <w:rFonts w:asciiTheme="minorHAnsi" w:hAnsiTheme="minorHAnsi" w:cstheme="minorHAnsi"/>
          <w:iCs/>
          <w:sz w:val="22"/>
          <w:szCs w:val="22"/>
        </w:rPr>
        <w:t>sa stanjem na dan 31.12.2024.</w:t>
      </w:r>
      <w:r w:rsidR="002F78D2">
        <w:rPr>
          <w:rFonts w:asciiTheme="minorHAnsi" w:hAnsiTheme="minorHAnsi" w:cstheme="minorHAnsi"/>
          <w:iCs/>
          <w:sz w:val="22"/>
          <w:szCs w:val="22"/>
        </w:rPr>
        <w:t>,</w:t>
      </w:r>
      <w:r w:rsidR="0015167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koje je uvećalo višak prihoda na </w:t>
      </w:r>
      <w:r w:rsidR="009658D4">
        <w:rPr>
          <w:rFonts w:asciiTheme="minorHAnsi" w:hAnsiTheme="minorHAnsi" w:cstheme="minorHAnsi"/>
          <w:iCs/>
          <w:sz w:val="22"/>
          <w:szCs w:val="22"/>
        </w:rPr>
        <w:t xml:space="preserve">podskupini 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922 u iznosu od </w:t>
      </w:r>
      <w:r w:rsidR="00B42B47">
        <w:rPr>
          <w:rFonts w:asciiTheme="minorHAnsi" w:hAnsiTheme="minorHAnsi" w:cstheme="minorHAnsi"/>
          <w:iCs/>
          <w:sz w:val="22"/>
          <w:szCs w:val="22"/>
        </w:rPr>
        <w:t>650.705,5</w:t>
      </w:r>
      <w:r w:rsidR="008D7482">
        <w:rPr>
          <w:rFonts w:asciiTheme="minorHAnsi" w:hAnsiTheme="minorHAnsi" w:cstheme="minorHAnsi"/>
          <w:iCs/>
          <w:sz w:val="22"/>
          <w:szCs w:val="22"/>
        </w:rPr>
        <w:t>3</w:t>
      </w:r>
      <w:r w:rsidR="002F78D2">
        <w:rPr>
          <w:rFonts w:asciiTheme="minorHAnsi" w:hAnsiTheme="minorHAnsi" w:cstheme="minorHAnsi"/>
          <w:iCs/>
          <w:sz w:val="22"/>
          <w:szCs w:val="22"/>
        </w:rPr>
        <w:t xml:space="preserve"> eura</w:t>
      </w:r>
    </w:p>
    <w:p w:rsidR="009658D4" w:rsidRDefault="009658D4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obveza na skupini 26  sa izvorima tih obveza na podskupini 912, koje je smanjilo višak prihoda na podskupini 922 u iznosu od 308.401,92 eura</w:t>
      </w:r>
    </w:p>
    <w:p w:rsidR="00953F92" w:rsidRDefault="00953F92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obveza</w:t>
      </w:r>
      <w:r w:rsidR="00B42B47">
        <w:rPr>
          <w:rFonts w:asciiTheme="minorHAnsi" w:hAnsiTheme="minorHAnsi" w:cstheme="minorHAnsi"/>
          <w:iCs/>
          <w:sz w:val="22"/>
          <w:szCs w:val="22"/>
        </w:rPr>
        <w:t xml:space="preserve"> na </w:t>
      </w:r>
      <w:r w:rsidR="00E5211C">
        <w:rPr>
          <w:rFonts w:asciiTheme="minorHAnsi" w:hAnsiTheme="minorHAnsi" w:cstheme="minorHAnsi"/>
          <w:iCs/>
          <w:sz w:val="22"/>
          <w:szCs w:val="22"/>
        </w:rPr>
        <w:t>skupini</w:t>
      </w:r>
      <w:r w:rsidR="00B42B47">
        <w:rPr>
          <w:rFonts w:asciiTheme="minorHAnsi" w:hAnsiTheme="minorHAnsi" w:cstheme="minorHAnsi"/>
          <w:iCs/>
          <w:sz w:val="22"/>
          <w:szCs w:val="22"/>
        </w:rPr>
        <w:t xml:space="preserve"> 2</w:t>
      </w:r>
      <w:r w:rsidR="00E5211C">
        <w:rPr>
          <w:rFonts w:asciiTheme="minorHAnsi" w:hAnsiTheme="minorHAnsi" w:cstheme="minorHAnsi"/>
          <w:iCs/>
          <w:sz w:val="22"/>
          <w:szCs w:val="22"/>
        </w:rPr>
        <w:t xml:space="preserve">3, </w:t>
      </w:r>
      <w:r w:rsidR="00B42B47">
        <w:rPr>
          <w:rFonts w:asciiTheme="minorHAnsi" w:hAnsiTheme="minorHAnsi" w:cstheme="minorHAnsi"/>
          <w:iCs/>
          <w:sz w:val="22"/>
          <w:szCs w:val="22"/>
        </w:rPr>
        <w:t>koje je uvećalo višak prihoda na podskupini 922 u iznosu od 29.101,78 eura</w:t>
      </w:r>
    </w:p>
    <w:p w:rsidR="00CA4E62" w:rsidRDefault="009D1BDD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potraživanja na skupini</w:t>
      </w:r>
      <w:r w:rsidR="00CA4E62">
        <w:rPr>
          <w:rFonts w:asciiTheme="minorHAnsi" w:hAnsiTheme="minorHAnsi" w:cstheme="minorHAnsi"/>
          <w:iCs/>
          <w:sz w:val="22"/>
          <w:szCs w:val="22"/>
        </w:rPr>
        <w:t xml:space="preserve"> 16 sa obračunatim prihodima poslovanja na skupini 96 i ispravkom vrijednosti potraživanja na podskupini 169 koje je </w:t>
      </w:r>
      <w:r w:rsidR="009658D4">
        <w:rPr>
          <w:rFonts w:asciiTheme="minorHAnsi" w:hAnsiTheme="minorHAnsi" w:cstheme="minorHAnsi"/>
          <w:iCs/>
          <w:sz w:val="22"/>
          <w:szCs w:val="22"/>
        </w:rPr>
        <w:t>uvećalo rezultat na podskupini 922 u iznosu od 47.714,29 eura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:rsidR="009D1BDD" w:rsidRDefault="009D1BDD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ukupnih potraživanja na skupini 12, koje je smanjilo višak</w:t>
      </w:r>
      <w:r w:rsidR="00E5211C">
        <w:rPr>
          <w:rFonts w:asciiTheme="minorHAnsi" w:hAnsiTheme="minorHAnsi" w:cstheme="minorHAnsi"/>
          <w:iCs/>
          <w:sz w:val="22"/>
          <w:szCs w:val="22"/>
        </w:rPr>
        <w:t xml:space="preserve"> prihoda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podskupini 922 u iznosu od 876,12 eura</w:t>
      </w:r>
    </w:p>
    <w:p w:rsidR="009658D4" w:rsidRDefault="009658D4" w:rsidP="00CA4E62">
      <w:pPr>
        <w:pStyle w:val="Tijelotekst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Zatvorena je vanbilančna evidencija za sudski spor u tijeku (Sudska presuda broj: Pž-7037/2018-3) za izvršene uplate obračunatih zateznih kamata u iznosu od 1.169.894,35 eura, koje je smanjilo viša</w:t>
      </w:r>
      <w:r w:rsidR="00E5211C">
        <w:rPr>
          <w:rFonts w:asciiTheme="minorHAnsi" w:hAnsiTheme="minorHAnsi" w:cstheme="minorHAnsi"/>
          <w:iCs/>
          <w:sz w:val="22"/>
          <w:szCs w:val="22"/>
        </w:rPr>
        <w:t>k</w:t>
      </w:r>
      <w:r>
        <w:rPr>
          <w:rFonts w:asciiTheme="minorHAnsi" w:hAnsiTheme="minorHAnsi" w:cstheme="minorHAnsi"/>
          <w:iCs/>
          <w:sz w:val="22"/>
          <w:szCs w:val="22"/>
        </w:rPr>
        <w:t xml:space="preserve"> na podskupini 922 za 1.169.894,35 eura</w:t>
      </w:r>
    </w:p>
    <w:p w:rsidR="00E03D7D" w:rsidRPr="00E03D7D" w:rsidRDefault="00E03D7D" w:rsidP="00E03D7D">
      <w:pPr>
        <w:pStyle w:val="Tijeloteksta"/>
        <w:ind w:left="720"/>
        <w:rPr>
          <w:rFonts w:asciiTheme="minorHAnsi" w:hAnsiTheme="minorHAnsi" w:cstheme="minorHAnsi"/>
          <w:iCs/>
          <w:sz w:val="22"/>
          <w:szCs w:val="22"/>
        </w:rPr>
      </w:pPr>
    </w:p>
    <w:p w:rsidR="00DB767B" w:rsidRDefault="00E03D7D" w:rsidP="00910421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0000FF"/>
          <w:sz w:val="22"/>
          <w:szCs w:val="22"/>
        </w:rPr>
      </w:pPr>
      <w:r w:rsidRPr="00E03D7D">
        <w:rPr>
          <w:rFonts w:ascii="Calibri" w:hAnsi="Calibri" w:cs="Calibri"/>
          <w:b/>
          <w:iCs/>
          <w:color w:val="0000FF"/>
          <w:sz w:val="22"/>
          <w:szCs w:val="22"/>
        </w:rPr>
        <w:t>Višak/Manjak prihoda (š</w:t>
      </w:r>
      <w:r w:rsidR="00DB767B" w:rsidRPr="00E03D7D">
        <w:rPr>
          <w:rFonts w:ascii="Calibri" w:hAnsi="Calibri" w:cs="Calibri"/>
          <w:b/>
          <w:iCs/>
          <w:color w:val="0000FF"/>
          <w:sz w:val="22"/>
          <w:szCs w:val="22"/>
        </w:rPr>
        <w:t>ifra 922</w:t>
      </w:r>
      <w:r w:rsidRPr="00E03D7D">
        <w:rPr>
          <w:rFonts w:ascii="Calibri" w:hAnsi="Calibri" w:cs="Calibri"/>
          <w:b/>
          <w:iCs/>
          <w:color w:val="0000FF"/>
          <w:sz w:val="22"/>
          <w:szCs w:val="22"/>
        </w:rPr>
        <w:t>)</w:t>
      </w:r>
      <w:r w:rsidR="00DB767B" w:rsidRPr="00E03D7D">
        <w:rPr>
          <w:rFonts w:ascii="Calibri" w:hAnsi="Calibri" w:cs="Calibri"/>
          <w:b/>
          <w:iCs/>
          <w:color w:val="0000FF"/>
          <w:sz w:val="22"/>
          <w:szCs w:val="22"/>
        </w:rPr>
        <w:t xml:space="preserve"> – </w:t>
      </w:r>
      <w:r w:rsidRPr="00E03D7D">
        <w:rPr>
          <w:rFonts w:ascii="Calibri" w:hAnsi="Calibri" w:cs="Calibri"/>
          <w:b/>
          <w:iCs/>
          <w:color w:val="0000FF"/>
          <w:sz w:val="22"/>
          <w:szCs w:val="22"/>
        </w:rPr>
        <w:t>Otpis potraživanja i obveza</w:t>
      </w:r>
    </w:p>
    <w:p w:rsidR="0018609F" w:rsidRPr="00E03D7D" w:rsidRDefault="0018609F" w:rsidP="00910421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0000FF"/>
          <w:sz w:val="22"/>
          <w:szCs w:val="22"/>
        </w:rPr>
      </w:pPr>
    </w:p>
    <w:p w:rsidR="00691BCC" w:rsidRPr="00617C57" w:rsidRDefault="00EB48B3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Odlukom </w:t>
      </w:r>
      <w:r w:rsidR="00E03D7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o </w:t>
      </w:r>
      <w:r w:rsidR="00E03D7D">
        <w:rPr>
          <w:rFonts w:ascii="Calibri" w:hAnsi="Calibri" w:cs="Calibri"/>
          <w:iCs/>
          <w:sz w:val="22"/>
          <w:szCs w:val="22"/>
        </w:rPr>
        <w:t>otpisu potraživanja i obveza(KLASA: 400-0</w:t>
      </w:r>
      <w:r w:rsidR="00910421">
        <w:rPr>
          <w:rFonts w:ascii="Calibri" w:hAnsi="Calibri" w:cs="Calibri"/>
          <w:iCs/>
          <w:sz w:val="22"/>
          <w:szCs w:val="22"/>
        </w:rPr>
        <w:t>6</w:t>
      </w:r>
      <w:r w:rsidR="00E03D7D">
        <w:rPr>
          <w:rFonts w:ascii="Calibri" w:hAnsi="Calibri" w:cs="Calibri"/>
          <w:iCs/>
          <w:sz w:val="22"/>
          <w:szCs w:val="22"/>
        </w:rPr>
        <w:t>/2</w:t>
      </w:r>
      <w:r w:rsidR="00910421">
        <w:rPr>
          <w:rFonts w:ascii="Calibri" w:hAnsi="Calibri" w:cs="Calibri"/>
          <w:iCs/>
          <w:sz w:val="22"/>
          <w:szCs w:val="22"/>
        </w:rPr>
        <w:t>4</w:t>
      </w:r>
      <w:r w:rsidR="00E03D7D">
        <w:rPr>
          <w:rFonts w:ascii="Calibri" w:hAnsi="Calibri" w:cs="Calibri"/>
          <w:iCs/>
          <w:sz w:val="22"/>
          <w:szCs w:val="22"/>
        </w:rPr>
        <w:t xml:space="preserve">-01/01)  izvršen je otpis potraživanja u iznosu od </w:t>
      </w:r>
      <w:r w:rsidR="00910421">
        <w:rPr>
          <w:rFonts w:ascii="Calibri" w:hAnsi="Calibri" w:cs="Calibri"/>
          <w:iCs/>
          <w:sz w:val="22"/>
          <w:szCs w:val="22"/>
        </w:rPr>
        <w:t>10.577,13</w:t>
      </w:r>
      <w:r w:rsidR="00E03D7D">
        <w:rPr>
          <w:rFonts w:ascii="Calibri" w:hAnsi="Calibri" w:cs="Calibri"/>
          <w:iCs/>
          <w:sz w:val="22"/>
          <w:szCs w:val="22"/>
        </w:rPr>
        <w:t xml:space="preserve"> eur</w:t>
      </w:r>
      <w:r w:rsidR="00373B2F">
        <w:rPr>
          <w:rFonts w:ascii="Calibri" w:hAnsi="Calibri" w:cs="Calibri"/>
          <w:iCs/>
          <w:sz w:val="22"/>
          <w:szCs w:val="22"/>
        </w:rPr>
        <w:t xml:space="preserve">a i otpis obveza u iznosu od </w:t>
      </w:r>
      <w:r w:rsidR="00910421">
        <w:rPr>
          <w:rFonts w:ascii="Calibri" w:hAnsi="Calibri" w:cs="Calibri"/>
          <w:iCs/>
          <w:sz w:val="22"/>
          <w:szCs w:val="22"/>
        </w:rPr>
        <w:t>29.101,78</w:t>
      </w:r>
      <w:r w:rsidR="00E03D7D">
        <w:rPr>
          <w:rFonts w:ascii="Calibri" w:hAnsi="Calibri" w:cs="Calibri"/>
          <w:iCs/>
          <w:sz w:val="22"/>
          <w:szCs w:val="22"/>
        </w:rPr>
        <w:t xml:space="preserve"> eura u  skladu sa člankom 80. st. 7. i st. 9., Pravilnika o proračunskom računovodstvu i računskom planu </w:t>
      </w:r>
      <w:r w:rsidR="00E03D7D" w:rsidRPr="00E03D7D">
        <w:rPr>
          <w:rFonts w:asciiTheme="minorHAnsi" w:hAnsiTheme="minorHAnsi" w:cstheme="minorHAnsi"/>
          <w:iCs/>
          <w:sz w:val="22"/>
          <w:szCs w:val="22"/>
        </w:rPr>
        <w:t>(</w:t>
      </w:r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Narodne novine, br</w:t>
      </w:r>
      <w:r w:rsid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oj</w:t>
      </w:r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8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124/14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9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115/15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0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87/16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1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3/18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2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126/19</w:t>
        </w:r>
      </w:hyperlink>
      <w:r w:rsidR="00E03D7D" w:rsidRPr="00E03D7D">
        <w:rPr>
          <w:rFonts w:asciiTheme="minorHAnsi" w:hAnsiTheme="minorHAnsi" w:cstheme="minorHAnsi"/>
          <w:sz w:val="22"/>
          <w:szCs w:val="22"/>
          <w:shd w:val="clear" w:color="auto" w:fill="FFFFFF"/>
        </w:rPr>
        <w:t> i </w:t>
      </w:r>
      <w:hyperlink r:id="rId13" w:history="1">
        <w:r w:rsidR="00E03D7D" w:rsidRPr="00E03D7D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108/20</w:t>
        </w:r>
      </w:hyperlink>
      <w:r w:rsidR="00E03D7D">
        <w:rPr>
          <w:rFonts w:asciiTheme="minorHAnsi" w:hAnsiTheme="minorHAnsi" w:cstheme="minorHAnsi"/>
          <w:sz w:val="22"/>
          <w:szCs w:val="22"/>
        </w:rPr>
        <w:t>) u korist</w:t>
      </w:r>
      <w:r w:rsidR="0018609F">
        <w:rPr>
          <w:rFonts w:asciiTheme="minorHAnsi" w:hAnsiTheme="minorHAnsi" w:cstheme="minorHAnsi"/>
          <w:sz w:val="22"/>
          <w:szCs w:val="22"/>
        </w:rPr>
        <w:t xml:space="preserve"> (</w:t>
      </w:r>
      <w:r w:rsidR="00727811">
        <w:rPr>
          <w:rFonts w:asciiTheme="minorHAnsi" w:hAnsiTheme="minorHAnsi" w:cstheme="minorHAnsi"/>
          <w:sz w:val="22"/>
          <w:szCs w:val="22"/>
        </w:rPr>
        <w:t>29.101,78</w:t>
      </w:r>
      <w:r w:rsidR="0018609F">
        <w:rPr>
          <w:rFonts w:asciiTheme="minorHAnsi" w:hAnsiTheme="minorHAnsi" w:cstheme="minorHAnsi"/>
          <w:sz w:val="22"/>
          <w:szCs w:val="22"/>
        </w:rPr>
        <w:t xml:space="preserve"> eura)</w:t>
      </w:r>
      <w:r w:rsidR="00E03D7D">
        <w:rPr>
          <w:rFonts w:asciiTheme="minorHAnsi" w:hAnsiTheme="minorHAnsi" w:cstheme="minorHAnsi"/>
          <w:sz w:val="22"/>
          <w:szCs w:val="22"/>
        </w:rPr>
        <w:t xml:space="preserve"> i na </w:t>
      </w:r>
      <w:r w:rsidR="00727811">
        <w:rPr>
          <w:rFonts w:asciiTheme="minorHAnsi" w:hAnsiTheme="minorHAnsi" w:cstheme="minorHAnsi"/>
          <w:sz w:val="22"/>
          <w:szCs w:val="22"/>
        </w:rPr>
        <w:t xml:space="preserve">teret (10.577,13 </w:t>
      </w:r>
      <w:r w:rsidR="0018609F">
        <w:rPr>
          <w:rFonts w:asciiTheme="minorHAnsi" w:hAnsiTheme="minorHAnsi" w:cstheme="minorHAnsi"/>
          <w:sz w:val="22"/>
          <w:szCs w:val="22"/>
        </w:rPr>
        <w:t xml:space="preserve">eura) računa </w:t>
      </w:r>
      <w:r w:rsidR="00727811">
        <w:rPr>
          <w:rFonts w:asciiTheme="minorHAnsi" w:hAnsiTheme="minorHAnsi" w:cstheme="minorHAnsi"/>
          <w:sz w:val="22"/>
          <w:szCs w:val="22"/>
        </w:rPr>
        <w:t>pods</w:t>
      </w:r>
      <w:r w:rsidR="0018609F">
        <w:rPr>
          <w:rFonts w:asciiTheme="minorHAnsi" w:hAnsiTheme="minorHAnsi" w:cstheme="minorHAnsi"/>
          <w:sz w:val="22"/>
          <w:szCs w:val="22"/>
        </w:rPr>
        <w:t>kupine 92</w:t>
      </w:r>
      <w:r w:rsidR="00727811">
        <w:rPr>
          <w:rFonts w:asciiTheme="minorHAnsi" w:hAnsiTheme="minorHAnsi" w:cstheme="minorHAnsi"/>
          <w:sz w:val="22"/>
          <w:szCs w:val="22"/>
        </w:rPr>
        <w:t>2</w:t>
      </w:r>
      <w:r w:rsidR="0018609F">
        <w:rPr>
          <w:rFonts w:asciiTheme="minorHAnsi" w:hAnsiTheme="minorHAnsi" w:cstheme="minorHAnsi"/>
          <w:sz w:val="22"/>
          <w:szCs w:val="22"/>
        </w:rPr>
        <w:t xml:space="preserve">– </w:t>
      </w:r>
      <w:r w:rsidR="00727811">
        <w:rPr>
          <w:rFonts w:asciiTheme="minorHAnsi" w:hAnsiTheme="minorHAnsi" w:cstheme="minorHAnsi"/>
          <w:sz w:val="22"/>
          <w:szCs w:val="22"/>
        </w:rPr>
        <w:t>Višak prihoda poslovanja</w:t>
      </w:r>
      <w:r w:rsidR="0018609F">
        <w:rPr>
          <w:rFonts w:asciiTheme="minorHAnsi" w:hAnsiTheme="minorHAnsi" w:cstheme="minorHAnsi"/>
          <w:sz w:val="22"/>
          <w:szCs w:val="22"/>
        </w:rPr>
        <w:t>.</w:t>
      </w:r>
    </w:p>
    <w:p w:rsidR="00691BCC" w:rsidRPr="008A0997" w:rsidRDefault="00691BCC" w:rsidP="00DB767B">
      <w:pPr>
        <w:pStyle w:val="Tijeloteksta"/>
        <w:ind w:left="360"/>
        <w:rPr>
          <w:rFonts w:ascii="Calibri" w:hAnsi="Calibri" w:cs="Calibri"/>
          <w:b/>
          <w:iCs/>
          <w:color w:val="0066FF"/>
          <w:sz w:val="22"/>
          <w:szCs w:val="22"/>
        </w:rPr>
      </w:pPr>
    </w:p>
    <w:p w:rsidR="00DB767B" w:rsidRPr="006E00C1" w:rsidRDefault="006E00C1" w:rsidP="00617C57">
      <w:pPr>
        <w:pStyle w:val="Odlomakpopisa"/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b/>
          <w:iCs/>
          <w:lang w:eastAsia="hr-HR"/>
        </w:rPr>
      </w:pPr>
      <w:r>
        <w:rPr>
          <w:rFonts w:ascii="Calibri" w:eastAsia="Times New Roman" w:hAnsi="Calibri" w:cs="Calibri"/>
          <w:b/>
          <w:iCs/>
          <w:lang w:eastAsia="hr-HR"/>
        </w:rPr>
        <w:t>BILJEŠKE UZ IZVJEŠTAJ O OBVEZAMA</w:t>
      </w:r>
    </w:p>
    <w:p w:rsidR="00DA2F2D" w:rsidRDefault="006E00C1" w:rsidP="00617C57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C11302">
        <w:rPr>
          <w:rFonts w:ascii="Calibri" w:hAnsi="Calibri" w:cs="Calibri"/>
          <w:b/>
          <w:iCs/>
          <w:sz w:val="22"/>
          <w:szCs w:val="22"/>
        </w:rPr>
        <w:t>Obveze (šifra V006)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BB306D">
        <w:rPr>
          <w:rFonts w:ascii="Calibri" w:hAnsi="Calibri" w:cs="Calibri"/>
          <w:iCs/>
          <w:sz w:val="22"/>
          <w:szCs w:val="22"/>
        </w:rPr>
        <w:t xml:space="preserve">na dan </w:t>
      </w:r>
      <w:r>
        <w:rPr>
          <w:rFonts w:ascii="Calibri" w:hAnsi="Calibri" w:cs="Calibri"/>
          <w:iCs/>
          <w:sz w:val="22"/>
          <w:szCs w:val="22"/>
        </w:rPr>
        <w:t>31.12.202</w:t>
      </w:r>
      <w:r w:rsidR="00617C57">
        <w:rPr>
          <w:rFonts w:ascii="Calibri" w:hAnsi="Calibri" w:cs="Calibri"/>
          <w:iCs/>
          <w:sz w:val="22"/>
          <w:szCs w:val="22"/>
        </w:rPr>
        <w:t>4</w:t>
      </w:r>
      <w:r w:rsidR="00BB306D">
        <w:rPr>
          <w:rFonts w:ascii="Calibri" w:hAnsi="Calibri" w:cs="Calibri"/>
          <w:iCs/>
          <w:sz w:val="22"/>
          <w:szCs w:val="22"/>
        </w:rPr>
        <w:t xml:space="preserve">. godine iznose </w:t>
      </w:r>
      <w:r w:rsidR="00617C57" w:rsidRPr="00C11302">
        <w:rPr>
          <w:rFonts w:ascii="Calibri" w:hAnsi="Calibri" w:cs="Calibri"/>
          <w:b/>
          <w:iCs/>
          <w:sz w:val="22"/>
          <w:szCs w:val="22"/>
        </w:rPr>
        <w:t>2.349.733,17</w:t>
      </w:r>
      <w:r w:rsidR="00691BCC" w:rsidRPr="00C11302">
        <w:rPr>
          <w:rFonts w:ascii="Calibri" w:hAnsi="Calibri" w:cs="Calibri"/>
          <w:b/>
          <w:iCs/>
          <w:sz w:val="22"/>
          <w:szCs w:val="22"/>
        </w:rPr>
        <w:t xml:space="preserve"> eura</w:t>
      </w:r>
      <w:r w:rsidR="00BB306D">
        <w:rPr>
          <w:rFonts w:ascii="Calibri" w:hAnsi="Calibri" w:cs="Calibri"/>
          <w:iCs/>
          <w:sz w:val="22"/>
          <w:szCs w:val="22"/>
        </w:rPr>
        <w:t xml:space="preserve"> od čega se</w:t>
      </w:r>
      <w:r w:rsidR="00DA2F2D">
        <w:rPr>
          <w:rFonts w:ascii="Calibri" w:hAnsi="Calibri" w:cs="Calibri"/>
          <w:iCs/>
          <w:sz w:val="22"/>
          <w:szCs w:val="22"/>
        </w:rPr>
        <w:t>:</w:t>
      </w:r>
    </w:p>
    <w:p w:rsidR="00DA2F2D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139.492,08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DA2F2D">
        <w:rPr>
          <w:rFonts w:ascii="Calibri" w:hAnsi="Calibri" w:cs="Calibri"/>
          <w:iCs/>
          <w:sz w:val="22"/>
          <w:szCs w:val="22"/>
        </w:rPr>
        <w:t xml:space="preserve"> odnosi na </w:t>
      </w:r>
      <w:r w:rsidR="006E00C1">
        <w:rPr>
          <w:rFonts w:ascii="Calibri" w:hAnsi="Calibri" w:cs="Calibri"/>
          <w:iCs/>
          <w:sz w:val="22"/>
          <w:szCs w:val="22"/>
        </w:rPr>
        <w:t>dospjele obveze u skupini 23 – obveze za rashode</w:t>
      </w:r>
      <w:r w:rsidR="00906C67">
        <w:rPr>
          <w:rFonts w:ascii="Calibri" w:hAnsi="Calibri" w:cs="Calibri"/>
          <w:iCs/>
          <w:sz w:val="22"/>
          <w:szCs w:val="22"/>
        </w:rPr>
        <w:t xml:space="preserve"> poslovanja</w:t>
      </w:r>
      <w:r w:rsidR="00DA2F2D">
        <w:rPr>
          <w:rFonts w:ascii="Calibri" w:hAnsi="Calibri" w:cs="Calibri"/>
          <w:iCs/>
          <w:sz w:val="22"/>
          <w:szCs w:val="22"/>
        </w:rPr>
        <w:t>,</w:t>
      </w:r>
    </w:p>
    <w:p w:rsidR="006E00C1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104.173,59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nedospjele obveze u skupini 23 – obveze za rashode poslovanja,</w:t>
      </w:r>
    </w:p>
    <w:p w:rsidR="006E00C1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101.691,28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dospjele obveze u skupini 24 – obveze za nabavu nefinancijske imovine,</w:t>
      </w:r>
    </w:p>
    <w:p w:rsidR="006E00C1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123.269,23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nedospjele obveze u skupini 24 – obveze za nabavu nefinancijske imovine i </w:t>
      </w:r>
    </w:p>
    <w:p w:rsidR="00CA5DD2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35.019,30</w:t>
      </w:r>
      <w:r w:rsidR="00691BCC">
        <w:rPr>
          <w:rFonts w:ascii="Calibri" w:hAnsi="Calibri" w:cs="Calibri"/>
          <w:iCs/>
          <w:sz w:val="22"/>
          <w:szCs w:val="22"/>
        </w:rPr>
        <w:t xml:space="preserve"> eura</w:t>
      </w:r>
      <w:r w:rsidR="006E00C1">
        <w:rPr>
          <w:rFonts w:ascii="Calibri" w:hAnsi="Calibri" w:cs="Calibri"/>
          <w:iCs/>
          <w:sz w:val="22"/>
          <w:szCs w:val="22"/>
        </w:rPr>
        <w:t xml:space="preserve"> odnosi na nedospjelu glavnicu po dugoročnom kreditu Zagrebačke banke</w:t>
      </w:r>
      <w:r w:rsidR="00421F60">
        <w:rPr>
          <w:rFonts w:ascii="Calibri" w:hAnsi="Calibri" w:cs="Calibri"/>
          <w:iCs/>
          <w:sz w:val="22"/>
          <w:szCs w:val="22"/>
        </w:rPr>
        <w:t xml:space="preserve"> (</w:t>
      </w:r>
      <w:r w:rsidR="00421F60" w:rsidRPr="00421F60">
        <w:rPr>
          <w:rFonts w:asciiTheme="minorHAnsi" w:hAnsiTheme="minorHAnsi" w:cstheme="minorHAnsi"/>
          <w:sz w:val="22"/>
          <w:szCs w:val="22"/>
        </w:rPr>
        <w:t>za izgradnju IV. i V. faze kanalizacijskog podsustava Preko – Poljana</w:t>
      </w:r>
      <w:r w:rsidR="00906C67">
        <w:rPr>
          <w:rFonts w:asciiTheme="minorHAnsi" w:hAnsiTheme="minorHAnsi" w:cstheme="minorHAnsi"/>
          <w:sz w:val="22"/>
          <w:szCs w:val="22"/>
        </w:rPr>
        <w:t xml:space="preserve"> iz programa IPARD, z</w:t>
      </w:r>
      <w:r w:rsidR="00421F60">
        <w:rPr>
          <w:rFonts w:asciiTheme="minorHAnsi" w:hAnsiTheme="minorHAnsi" w:cstheme="minorHAnsi"/>
          <w:sz w:val="22"/>
          <w:szCs w:val="22"/>
        </w:rPr>
        <w:t>adnja rata dopijeva na naplatu 31.12.2026. godine)</w:t>
      </w:r>
      <w:r w:rsidR="00691BCC">
        <w:rPr>
          <w:rFonts w:asciiTheme="minorHAnsi" w:hAnsiTheme="minorHAnsi" w:cstheme="minorHAnsi"/>
          <w:iCs/>
          <w:sz w:val="22"/>
          <w:szCs w:val="22"/>
        </w:rPr>
        <w:t xml:space="preserve">, a </w:t>
      </w:r>
      <w:r>
        <w:rPr>
          <w:rFonts w:asciiTheme="minorHAnsi" w:hAnsiTheme="minorHAnsi" w:cstheme="minorHAnsi"/>
          <w:iCs/>
          <w:sz w:val="22"/>
          <w:szCs w:val="22"/>
        </w:rPr>
        <w:t>663.614,00 eura</w:t>
      </w:r>
      <w:r w:rsidR="00691BCC">
        <w:rPr>
          <w:rFonts w:asciiTheme="minorHAnsi" w:hAnsiTheme="minorHAnsi" w:cstheme="minorHAnsi"/>
          <w:iCs/>
          <w:sz w:val="22"/>
          <w:szCs w:val="22"/>
        </w:rPr>
        <w:t xml:space="preserve"> na nedospjelu otplatu glavnice po dugoročnom kreditu Privredne banke Zagreb d.d. za izgradn</w:t>
      </w:r>
      <w:r>
        <w:rPr>
          <w:rFonts w:asciiTheme="minorHAnsi" w:hAnsiTheme="minorHAnsi" w:cstheme="minorHAnsi"/>
          <w:iCs/>
          <w:sz w:val="22"/>
          <w:szCs w:val="22"/>
        </w:rPr>
        <w:t>ju novog groblja u mjestu Preko te</w:t>
      </w:r>
    </w:p>
    <w:p w:rsidR="00C11302" w:rsidRDefault="00C11302" w:rsidP="00617C57">
      <w:pPr>
        <w:pStyle w:val="Tijeloteksta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1.182.473,69 eura na dospjele obveze za jamčevni polog</w:t>
      </w:r>
    </w:p>
    <w:p w:rsidR="00A509E8" w:rsidRDefault="00A509E8" w:rsidP="00A509E8">
      <w:pPr>
        <w:pStyle w:val="Tijeloteksta"/>
        <w:ind w:left="1080"/>
        <w:rPr>
          <w:rFonts w:asciiTheme="minorHAnsi" w:hAnsiTheme="minorHAnsi" w:cstheme="minorHAnsi"/>
          <w:iCs/>
          <w:sz w:val="22"/>
          <w:szCs w:val="22"/>
        </w:rPr>
      </w:pPr>
    </w:p>
    <w:p w:rsidR="00421F60" w:rsidRDefault="00421F60" w:rsidP="00421F60">
      <w:pPr>
        <w:pStyle w:val="Tijeloteksta"/>
        <w:ind w:left="1080"/>
        <w:rPr>
          <w:rFonts w:asciiTheme="minorHAnsi" w:hAnsiTheme="minorHAnsi" w:cstheme="minorHAnsi"/>
          <w:iCs/>
          <w:sz w:val="22"/>
          <w:szCs w:val="22"/>
        </w:rPr>
      </w:pPr>
    </w:p>
    <w:p w:rsidR="00421F60" w:rsidRDefault="00421F60" w:rsidP="00421F60">
      <w:pPr>
        <w:pStyle w:val="Tijeloteksta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421F60">
        <w:rPr>
          <w:rFonts w:asciiTheme="minorHAnsi" w:hAnsiTheme="minorHAnsi" w:cstheme="minorHAnsi"/>
          <w:b/>
          <w:iCs/>
          <w:sz w:val="22"/>
          <w:szCs w:val="22"/>
        </w:rPr>
        <w:t xml:space="preserve">BILJEŠKE UZ OBRAZAC P-VRIO – </w:t>
      </w:r>
      <w:r w:rsidR="00807F7F">
        <w:rPr>
          <w:rFonts w:asciiTheme="minorHAnsi" w:hAnsiTheme="minorHAnsi" w:cstheme="minorHAnsi"/>
          <w:b/>
          <w:iCs/>
          <w:sz w:val="22"/>
          <w:szCs w:val="22"/>
        </w:rPr>
        <w:t>IZVJEŠTAJ O PROMJENAMA U VRIJEDNOSTI I OBUJMU IMOVINE I OBVEZA</w:t>
      </w:r>
    </w:p>
    <w:p w:rsidR="00807F7F" w:rsidRDefault="00807F7F" w:rsidP="00807F7F">
      <w:pPr>
        <w:pStyle w:val="Tijeloteksta"/>
        <w:ind w:left="1080"/>
        <w:rPr>
          <w:rFonts w:asciiTheme="minorHAnsi" w:hAnsiTheme="minorHAnsi" w:cstheme="minorHAnsi"/>
          <w:b/>
          <w:iCs/>
          <w:sz w:val="22"/>
          <w:szCs w:val="22"/>
        </w:rPr>
      </w:pPr>
    </w:p>
    <w:p w:rsidR="00117A3A" w:rsidRPr="005F21BA" w:rsidRDefault="00117A3A" w:rsidP="00C11302">
      <w:pPr>
        <w:pStyle w:val="Tijeloteksta"/>
        <w:spacing w:line="276" w:lineRule="auto"/>
        <w:ind w:left="360"/>
        <w:rPr>
          <w:rFonts w:ascii="Calibri" w:hAnsi="Calibri" w:cs="Calibri"/>
          <w:b/>
          <w:iCs/>
          <w:color w:val="0000FF"/>
          <w:sz w:val="22"/>
          <w:szCs w:val="22"/>
        </w:rPr>
      </w:pPr>
      <w:r w:rsidRPr="005F21BA">
        <w:rPr>
          <w:rFonts w:ascii="Calibri" w:hAnsi="Calibri" w:cs="Calibri"/>
          <w:b/>
          <w:iCs/>
          <w:color w:val="0000FF"/>
          <w:sz w:val="22"/>
          <w:szCs w:val="22"/>
        </w:rPr>
        <w:t>Promjene u obujmu financijske imovine</w:t>
      </w:r>
      <w:r w:rsidR="005F21BA" w:rsidRPr="005F21BA">
        <w:rPr>
          <w:rFonts w:ascii="Calibri" w:hAnsi="Calibri" w:cs="Calibri"/>
          <w:b/>
          <w:iCs/>
          <w:color w:val="0000FF"/>
          <w:sz w:val="22"/>
          <w:szCs w:val="22"/>
        </w:rPr>
        <w:t xml:space="preserve"> (šifra P023)</w:t>
      </w:r>
    </w:p>
    <w:p w:rsidR="00CA5DD2" w:rsidRDefault="00117A3A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  <w:r w:rsidRPr="00117A3A">
        <w:rPr>
          <w:rFonts w:ascii="Calibri" w:hAnsi="Calibri" w:cs="Calibri"/>
          <w:iCs/>
          <w:sz w:val="22"/>
          <w:szCs w:val="22"/>
        </w:rPr>
        <w:t xml:space="preserve">Na ovoj šifri </w:t>
      </w:r>
      <w:r>
        <w:rPr>
          <w:rFonts w:ascii="Calibri" w:hAnsi="Calibri" w:cs="Calibri"/>
          <w:iCs/>
          <w:sz w:val="22"/>
          <w:szCs w:val="22"/>
        </w:rPr>
        <w:t xml:space="preserve">je iskazan iznos oslobođenja od plaćanja komunalnog doprinosa u vrijednosti od </w:t>
      </w:r>
      <w:r w:rsidR="00C11302">
        <w:rPr>
          <w:rFonts w:ascii="Calibri" w:hAnsi="Calibri" w:cs="Calibri"/>
          <w:iCs/>
          <w:sz w:val="22"/>
          <w:szCs w:val="22"/>
        </w:rPr>
        <w:t>73.591,09</w:t>
      </w:r>
      <w:r w:rsidR="00373B2F">
        <w:rPr>
          <w:rFonts w:ascii="Calibri" w:hAnsi="Calibri" w:cs="Calibri"/>
          <w:iCs/>
          <w:sz w:val="22"/>
          <w:szCs w:val="22"/>
        </w:rPr>
        <w:t xml:space="preserve"> eura</w:t>
      </w:r>
      <w:r>
        <w:rPr>
          <w:rFonts w:ascii="Calibri" w:hAnsi="Calibri" w:cs="Calibri"/>
          <w:iCs/>
          <w:sz w:val="22"/>
          <w:szCs w:val="22"/>
        </w:rPr>
        <w:t xml:space="preserve">; po osnovu čega su umanjeni i obračunati prihodi </w:t>
      </w:r>
      <w:r w:rsidR="00CC5997">
        <w:rPr>
          <w:rFonts w:ascii="Calibri" w:hAnsi="Calibri" w:cs="Calibri"/>
          <w:iCs/>
          <w:sz w:val="22"/>
          <w:szCs w:val="22"/>
        </w:rPr>
        <w:t xml:space="preserve">te potraživanje po istoj osnovi i iznos otpisa potraživanja od </w:t>
      </w:r>
      <w:r w:rsidR="00C11302">
        <w:rPr>
          <w:rFonts w:ascii="Calibri" w:hAnsi="Calibri" w:cs="Calibri"/>
          <w:iCs/>
          <w:sz w:val="22"/>
          <w:szCs w:val="22"/>
        </w:rPr>
        <w:t>10.577,13</w:t>
      </w:r>
      <w:r w:rsidR="00CC5997">
        <w:rPr>
          <w:rFonts w:ascii="Calibri" w:hAnsi="Calibri" w:cs="Calibri"/>
          <w:iCs/>
          <w:sz w:val="22"/>
          <w:szCs w:val="22"/>
        </w:rPr>
        <w:t xml:space="preserve"> eura. </w:t>
      </w: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E22B85" w:rsidRDefault="00E22B85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CC5997" w:rsidRDefault="00CC5997" w:rsidP="00C11302">
      <w:pPr>
        <w:pStyle w:val="Tijeloteksta"/>
        <w:spacing w:line="276" w:lineRule="auto"/>
        <w:ind w:left="360"/>
        <w:rPr>
          <w:rFonts w:ascii="Calibri" w:hAnsi="Calibri" w:cs="Calibri"/>
          <w:iCs/>
          <w:sz w:val="22"/>
          <w:szCs w:val="22"/>
        </w:rPr>
      </w:pPr>
    </w:p>
    <w:p w:rsidR="00CA5DD2" w:rsidRDefault="00CA5DD2" w:rsidP="00367B47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6EE8" w:rsidRPr="007B6EE8" w:rsidRDefault="007B6EE8" w:rsidP="007B6EE8">
      <w:pPr>
        <w:pStyle w:val="Tijeloteksta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7B6EE8">
        <w:rPr>
          <w:rFonts w:asciiTheme="minorHAnsi" w:hAnsiTheme="minorHAnsi" w:cstheme="minorHAnsi"/>
          <w:b/>
          <w:sz w:val="22"/>
          <w:szCs w:val="22"/>
        </w:rPr>
        <w:lastRenderedPageBreak/>
        <w:t>POPIS UGOVORNIH ODNOSA KOJI MOGU POSTATI PRIHOD</w:t>
      </w:r>
    </w:p>
    <w:p w:rsidR="009817F3" w:rsidRDefault="00DA2F2D" w:rsidP="00DA2F2D">
      <w:pPr>
        <w:pStyle w:val="Tijeloteksta"/>
        <w:framePr w:hSpace="180" w:wrap="around" w:vAnchor="text" w:hAnchor="margin" w:xAlign="center" w:y="110"/>
        <w:numPr>
          <w:ilvl w:val="0"/>
          <w:numId w:val="1"/>
        </w:numPr>
        <w:jc w:val="lef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POPIS UGOVORNIH OBVEZA KOJE MOGU POSTATI PRIHOD</w:t>
      </w:r>
    </w:p>
    <w:p w:rsidR="009817F3" w:rsidRPr="009817F3" w:rsidRDefault="009817F3" w:rsidP="009817F3">
      <w:pPr>
        <w:pStyle w:val="Tijeloteksta"/>
        <w:framePr w:hSpace="180" w:wrap="around" w:vAnchor="text" w:hAnchor="margin" w:xAlign="center" w:y="110"/>
        <w:rPr>
          <w:rFonts w:ascii="Calibri" w:hAnsi="Calibri" w:cs="Calibri"/>
          <w:b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110"/>
        <w:tblW w:w="10060" w:type="dxa"/>
        <w:tblLook w:val="04A0" w:firstRow="1" w:lastRow="0" w:firstColumn="1" w:lastColumn="0" w:noHBand="0" w:noVBand="1"/>
      </w:tblPr>
      <w:tblGrid>
        <w:gridCol w:w="572"/>
        <w:gridCol w:w="1266"/>
        <w:gridCol w:w="1317"/>
        <w:gridCol w:w="1333"/>
        <w:gridCol w:w="1820"/>
        <w:gridCol w:w="1228"/>
        <w:gridCol w:w="1345"/>
        <w:gridCol w:w="1179"/>
      </w:tblGrid>
      <w:tr w:rsidR="000E1E14" w:rsidRPr="008E1009" w:rsidTr="00663157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RBR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DATUM IZDAVANJA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DAVATELJ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</w:tr>
      <w:tr w:rsidR="000E1E14" w:rsidRPr="008E1009" w:rsidTr="00663157">
        <w:trPr>
          <w:trHeight w:val="73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1E14" w:rsidRPr="00B24F72" w:rsidRDefault="000E1E14" w:rsidP="000E1E1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E1E14" w:rsidRPr="008E1009" w:rsidTr="00663157">
        <w:trPr>
          <w:trHeight w:val="14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22.11.2019.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15.381,51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JUKIĆ - DAM d.o.o.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energetske obnove zgrade Općine Preko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13.09.2024.</w:t>
            </w:r>
          </w:p>
        </w:tc>
      </w:tr>
      <w:tr w:rsidR="000E1E14" w:rsidRPr="008E1009" w:rsidTr="00663157">
        <w:trPr>
          <w:trHeight w:val="1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18.03.2020.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16.990,87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KALI GRADNJA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asfaltiranja nerazvrstanih cesta na području Općine Preko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31.03.2024.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02.06.2022.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CLASS PROJEKT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za otklanjanje nedostataka u jamstvenom roku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za Dom kulture na Ugljanu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 isteka jamstva</w:t>
            </w:r>
          </w:p>
        </w:tc>
      </w:tr>
      <w:tr w:rsidR="000E1E14" w:rsidRPr="008E1009" w:rsidTr="00663157">
        <w:trPr>
          <w:trHeight w:val="9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31.05.2019.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Šimićev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20.02.2024.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16.10.2019.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Mirko Sorić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02.10.2024.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Enco Perović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30.08.2024.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21.04.2020.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Nikola Grgurev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15.12.2025.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14.05.2020.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David Valčić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26.02.2025.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08.06.2020.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Hromin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25.05.2025.</w:t>
            </w:r>
          </w:p>
        </w:tc>
      </w:tr>
      <w:tr w:rsidR="000E1E14" w:rsidRPr="008E1009" w:rsidTr="003D1359">
        <w:trPr>
          <w:trHeight w:val="9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17.07.2020.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28.05.2025.</w:t>
            </w:r>
          </w:p>
        </w:tc>
      </w:tr>
      <w:tr w:rsidR="000E1E14" w:rsidRPr="008E1009" w:rsidTr="003D1359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0E1E14" w:rsidRPr="008E1009" w:rsidTr="00663157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13.01.2021.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Zrinka Jeličić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novorođenče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15.07.2026.</w:t>
            </w:r>
          </w:p>
        </w:tc>
      </w:tr>
      <w:tr w:rsidR="000E1E14" w:rsidRPr="008E1009" w:rsidTr="00663157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30.05.2018.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Marta Župan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novorođenče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15.01.2026.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Marin Pantalon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01.03.2026.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Šimunac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26.05.2026.</w:t>
            </w:r>
          </w:p>
        </w:tc>
      </w:tr>
      <w:tr w:rsidR="000E1E14" w:rsidRPr="008E1009" w:rsidTr="00F5190F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Davor Mičić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13.06.2026.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Jadrijev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Jurin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Krešimir Markulin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Špar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1.327,23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Darko Alavanja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dvije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Darija Itković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Zorić Guzobad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pet godina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27.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Mikela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8E1009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Kate Glavurtić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Domagoj Ivković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Ćurk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 Bačić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David Grgurev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Matej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4.000,000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šest godina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2.000,00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Tomislav Šarin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Dundov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0E1E14" w:rsidRPr="00367B47" w:rsidTr="00663157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Joško Kucelin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E14" w:rsidRPr="009A4B0F" w:rsidRDefault="000E1E14" w:rsidP="000E1E14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E14" w:rsidRPr="009A4B0F" w:rsidRDefault="000E1E14" w:rsidP="000E1E1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E1E14" w:rsidRPr="009A4B0F" w:rsidRDefault="000E1E14" w:rsidP="000E1E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</w:tbl>
    <w:p w:rsidR="00F5190F" w:rsidRDefault="00F5190F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B13DD" w:rsidRDefault="007B13DD" w:rsidP="007401B4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22B85" w:rsidRPr="007B13DD" w:rsidRDefault="002C1073" w:rsidP="007B13DD">
      <w:pPr>
        <w:pStyle w:val="Tijeloteksta"/>
        <w:numPr>
          <w:ilvl w:val="0"/>
          <w:numId w:val="9"/>
        </w:numPr>
        <w:rPr>
          <w:rFonts w:ascii="Calibri" w:hAnsi="Calibri" w:cs="Calibri"/>
          <w:b/>
          <w:iCs/>
          <w:sz w:val="22"/>
          <w:szCs w:val="22"/>
        </w:rPr>
      </w:pPr>
      <w:r w:rsidRPr="002C1073">
        <w:rPr>
          <w:rFonts w:ascii="Calibri" w:hAnsi="Calibri" w:cs="Calibri"/>
          <w:b/>
          <w:iCs/>
          <w:sz w:val="22"/>
          <w:szCs w:val="22"/>
        </w:rPr>
        <w:lastRenderedPageBreak/>
        <w:t>STANJE POTENCIJALNIH OBVEZA OPĆINE PREKO PO OSNOVI SUDSKIH POSTUPAKA</w:t>
      </w:r>
    </w:p>
    <w:tbl>
      <w:tblPr>
        <w:tblStyle w:val="Reetkatablice"/>
        <w:tblpPr w:leftFromText="180" w:rightFromText="180" w:vertAnchor="page" w:horzAnchor="margin" w:tblpY="2686"/>
        <w:tblW w:w="9351" w:type="dxa"/>
        <w:tblLook w:val="04A0" w:firstRow="1" w:lastRow="0" w:firstColumn="1" w:lastColumn="0" w:noHBand="0" w:noVBand="1"/>
      </w:tblPr>
      <w:tblGrid>
        <w:gridCol w:w="808"/>
        <w:gridCol w:w="1925"/>
        <w:gridCol w:w="1356"/>
        <w:gridCol w:w="10"/>
        <w:gridCol w:w="1409"/>
        <w:gridCol w:w="10"/>
        <w:gridCol w:w="1142"/>
        <w:gridCol w:w="1301"/>
        <w:gridCol w:w="1390"/>
      </w:tblGrid>
      <w:tr w:rsidR="00E22B85" w:rsidRPr="00AB1809" w:rsidTr="000C5FA0">
        <w:trPr>
          <w:trHeight w:val="4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RBR</w:t>
            </w:r>
          </w:p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OVRHOVODITELJ</w:t>
            </w:r>
          </w:p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TUŽITELJ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Poslovni broj predmeta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Sažeti opis prirode spora</w:t>
            </w:r>
          </w:p>
        </w:tc>
        <w:tc>
          <w:tcPr>
            <w:tcW w:w="11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Iznos glavnice u eurima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Procjena financijskog učinka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Početak sudskog spora</w:t>
            </w:r>
          </w:p>
        </w:tc>
      </w:tr>
      <w:tr w:rsidR="00E22B85" w:rsidTr="000C5FA0">
        <w:trPr>
          <w:trHeight w:val="374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OVRŠENIK</w:t>
            </w:r>
          </w:p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TUŽENIK</w:t>
            </w:r>
          </w:p>
        </w:tc>
        <w:tc>
          <w:tcPr>
            <w:tcW w:w="13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44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Neven Jurin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P-1671/18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400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42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2.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Neven Jurin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P-497/11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1.323,23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410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4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3.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Ivan Grbas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P-770/13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418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43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4.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 xml:space="preserve">Šime Marušić 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P-1208/16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398"/>
        </w:trPr>
        <w:tc>
          <w:tcPr>
            <w:tcW w:w="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5.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P-732/13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1.459,95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6.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P-1663/16</w:t>
            </w: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P-697/20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7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7.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P-448/16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E22B85" w:rsidRPr="00220952" w:rsidTr="000C5FA0">
        <w:trPr>
          <w:trHeight w:val="2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8.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VELI DVORI d.o.o.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P-697/2020</w:t>
            </w: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P-2158/24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9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25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9.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Veronika Lončar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P-2288/19</w:t>
            </w: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P/763/2024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30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10.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Branko Lončar i dr.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P-2017/19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6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E22B85" w:rsidRPr="00220952" w:rsidTr="000C5FA0">
        <w:trPr>
          <w:trHeight w:val="33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11.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Gordana Regnemer</w:t>
            </w: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P-463/2023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1.500,00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E22B85" w:rsidRPr="00220952" w:rsidTr="000C5FA0">
        <w:trPr>
          <w:trHeight w:val="22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Default="00E22B8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  <w:p w:rsidR="005739E5" w:rsidRDefault="005739E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Default="005739E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0C5FA0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bookmarkStart w:id="0" w:name="_GoBack"/>
            <w:bookmarkEnd w:id="0"/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22B85" w:rsidRPr="007B13DD" w:rsidRDefault="00E22B85" w:rsidP="000C5FA0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lastRenderedPageBreak/>
              <w:t>12.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 xml:space="preserve">Branko Kombura </w:t>
            </w: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P-1812/23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1.330,00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5739E5" w:rsidRPr="00220952" w:rsidTr="000C5FA0">
        <w:trPr>
          <w:trHeight w:val="3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13.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Željko Bekafigo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P-2807/23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4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26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14.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Bratislav Kuštera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P-2127/24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30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hr-HR" w:bidi="hr-HR"/>
              </w:rPr>
            </w:pPr>
          </w:p>
        </w:tc>
      </w:tr>
      <w:tr w:rsidR="005739E5" w:rsidRPr="00220952" w:rsidTr="000C5FA0">
        <w:trPr>
          <w:trHeight w:val="32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15.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Nedeljko Perić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2154/24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3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16.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Ervin Celent</w:t>
            </w: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P-1721/24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5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31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17.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Bernardo Franin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P-411/2012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132,72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4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290"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18.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Marija Karlović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P-1548/24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1.327,23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  <w:tr w:rsidR="005739E5" w:rsidRPr="00220952" w:rsidTr="000C5FA0">
        <w:trPr>
          <w:trHeight w:val="270"/>
        </w:trPr>
        <w:tc>
          <w:tcPr>
            <w:tcW w:w="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OPĆINA PREKO</w:t>
            </w: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</w:tc>
      </w:tr>
      <w:tr w:rsidR="005739E5" w:rsidRPr="00220952" w:rsidTr="000C5FA0">
        <w:trPr>
          <w:trHeight w:val="31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19.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  <w:t>Ilona Mikelenić</w:t>
            </w:r>
          </w:p>
          <w:p w:rsidR="005739E5" w:rsidRPr="007B13DD" w:rsidRDefault="005739E5" w:rsidP="005739E5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 w:bidi="hr-HR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R1-163/24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Radi utvrđivanja prava vlasništva i uknjižbe</w:t>
            </w:r>
          </w:p>
        </w:tc>
        <w:tc>
          <w:tcPr>
            <w:tcW w:w="115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33.450,00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</w:p>
          <w:p w:rsidR="005739E5" w:rsidRPr="007B13DD" w:rsidRDefault="005739E5" w:rsidP="005739E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</w:pPr>
            <w:r w:rsidRPr="007B13DD">
              <w:rPr>
                <w:rFonts w:eastAsia="Times New Roman" w:cstheme="minorHAnsi"/>
                <w:color w:val="000000"/>
                <w:sz w:val="20"/>
                <w:szCs w:val="20"/>
                <w:lang w:eastAsia="hr-HR" w:bidi="hr-HR"/>
              </w:rPr>
              <w:t>/</w:t>
            </w:r>
          </w:p>
        </w:tc>
      </w:tr>
    </w:tbl>
    <w:p w:rsidR="00E22B85" w:rsidRPr="00E22B85" w:rsidRDefault="00E22B85" w:rsidP="00E22B85">
      <w:pPr>
        <w:pStyle w:val="Tijeloteksta"/>
        <w:ind w:left="360"/>
        <w:rPr>
          <w:rFonts w:ascii="Calibri" w:hAnsi="Calibri" w:cs="Calibri"/>
          <w:b/>
          <w:iCs/>
          <w:sz w:val="22"/>
          <w:szCs w:val="22"/>
        </w:rPr>
      </w:pPr>
    </w:p>
    <w:p w:rsidR="002C1073" w:rsidRPr="002C1073" w:rsidRDefault="002C1073" w:rsidP="002C1073">
      <w:pPr>
        <w:pStyle w:val="Tijeloteksta"/>
        <w:ind w:left="1080"/>
        <w:rPr>
          <w:rFonts w:ascii="Calibri" w:hAnsi="Calibri" w:cs="Calibri"/>
          <w:b/>
          <w:iCs/>
          <w:sz w:val="22"/>
          <w:szCs w:val="22"/>
        </w:rPr>
      </w:pPr>
    </w:p>
    <w:p w:rsidR="00445840" w:rsidRDefault="00194D60" w:rsidP="00194D60">
      <w:pPr>
        <w:pStyle w:val="Tijeloteksta"/>
        <w:ind w:firstLine="708"/>
        <w:jc w:val="right"/>
        <w:rPr>
          <w:rFonts w:ascii="Calibri" w:hAnsi="Calibri" w:cs="Calibri"/>
          <w:b/>
          <w:sz w:val="22"/>
          <w:szCs w:val="22"/>
        </w:rPr>
      </w:pPr>
      <w:r w:rsidRPr="00042E24">
        <w:rPr>
          <w:rFonts w:ascii="Calibri" w:hAnsi="Calibri" w:cs="Calibri"/>
          <w:b/>
          <w:sz w:val="22"/>
          <w:szCs w:val="22"/>
        </w:rPr>
        <w:t>OPĆINSKI NAČELNIK:</w:t>
      </w:r>
    </w:p>
    <w:p w:rsidR="007B13DD" w:rsidRPr="00042E24" w:rsidRDefault="007B13DD" w:rsidP="00194D60">
      <w:pPr>
        <w:pStyle w:val="Tijeloteksta"/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194D60" w:rsidRPr="00F002DA" w:rsidRDefault="00194D60" w:rsidP="00194D60">
      <w:pPr>
        <w:pStyle w:val="Tijeloteksta"/>
        <w:ind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JURE BRIŽIĆ</w:t>
      </w:r>
    </w:p>
    <w:p w:rsidR="0064234E" w:rsidRDefault="0064234E" w:rsidP="0064234E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jc w:val="both"/>
      </w:pPr>
    </w:p>
    <w:p w:rsidR="0064234E" w:rsidRPr="00923DD7" w:rsidRDefault="0064234E" w:rsidP="00923DD7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FA2DCD" w:rsidRDefault="00FA2DCD" w:rsidP="00FA2DCD">
      <w:pPr>
        <w:pStyle w:val="Bezproreda"/>
        <w:ind w:left="360"/>
        <w:rPr>
          <w:b/>
        </w:rPr>
      </w:pPr>
    </w:p>
    <w:sectPr w:rsidR="00FA2DCD" w:rsidRPr="00FA2DC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29" w:rsidRDefault="00712A29" w:rsidP="008B7B04">
      <w:pPr>
        <w:spacing w:after="0" w:line="240" w:lineRule="auto"/>
      </w:pPr>
      <w:r>
        <w:separator/>
      </w:r>
    </w:p>
  </w:endnote>
  <w:endnote w:type="continuationSeparator" w:id="0">
    <w:p w:rsidR="00712A29" w:rsidRDefault="00712A29" w:rsidP="008B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21489"/>
      <w:docPartObj>
        <w:docPartGallery w:val="Page Numbers (Bottom of Page)"/>
        <w:docPartUnique/>
      </w:docPartObj>
    </w:sdtPr>
    <w:sdtContent>
      <w:p w:rsidR="003D1359" w:rsidRDefault="003D135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E5">
          <w:rPr>
            <w:noProof/>
          </w:rPr>
          <w:t>12</w:t>
        </w:r>
        <w:r>
          <w:fldChar w:fldCharType="end"/>
        </w:r>
      </w:p>
    </w:sdtContent>
  </w:sdt>
  <w:p w:rsidR="003D1359" w:rsidRDefault="003D13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29" w:rsidRDefault="00712A29" w:rsidP="008B7B04">
      <w:pPr>
        <w:spacing w:after="0" w:line="240" w:lineRule="auto"/>
      </w:pPr>
      <w:r>
        <w:separator/>
      </w:r>
    </w:p>
  </w:footnote>
  <w:footnote w:type="continuationSeparator" w:id="0">
    <w:p w:rsidR="00712A29" w:rsidRDefault="00712A29" w:rsidP="008B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1A"/>
    <w:multiLevelType w:val="hybridMultilevel"/>
    <w:tmpl w:val="A7A8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EFE"/>
    <w:multiLevelType w:val="hybridMultilevel"/>
    <w:tmpl w:val="561AA8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6AE3"/>
    <w:multiLevelType w:val="hybridMultilevel"/>
    <w:tmpl w:val="A0661A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D4007"/>
    <w:multiLevelType w:val="hybridMultilevel"/>
    <w:tmpl w:val="2A6CF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E01F8"/>
    <w:multiLevelType w:val="hybridMultilevel"/>
    <w:tmpl w:val="053AC7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74ABB"/>
    <w:multiLevelType w:val="hybridMultilevel"/>
    <w:tmpl w:val="11D43CFC"/>
    <w:lvl w:ilvl="0" w:tplc="A8A4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6C9D"/>
    <w:multiLevelType w:val="multilevel"/>
    <w:tmpl w:val="02D61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AD0002F"/>
    <w:multiLevelType w:val="hybridMultilevel"/>
    <w:tmpl w:val="5872A98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16AF2"/>
    <w:multiLevelType w:val="hybridMultilevel"/>
    <w:tmpl w:val="A8F40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334D"/>
    <w:multiLevelType w:val="hybridMultilevel"/>
    <w:tmpl w:val="E4869D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F18CD"/>
    <w:multiLevelType w:val="hybridMultilevel"/>
    <w:tmpl w:val="67FED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D648C"/>
    <w:multiLevelType w:val="hybridMultilevel"/>
    <w:tmpl w:val="E8360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C34A3"/>
    <w:multiLevelType w:val="hybridMultilevel"/>
    <w:tmpl w:val="A4D29B10"/>
    <w:lvl w:ilvl="0" w:tplc="54D4C41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2302"/>
    <w:multiLevelType w:val="hybridMultilevel"/>
    <w:tmpl w:val="6B26F1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765C6"/>
    <w:multiLevelType w:val="multilevel"/>
    <w:tmpl w:val="8848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B0623EC"/>
    <w:multiLevelType w:val="hybridMultilevel"/>
    <w:tmpl w:val="AC0022C0"/>
    <w:lvl w:ilvl="0" w:tplc="041A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6" w15:restartNumberingAfterBreak="0">
    <w:nsid w:val="6BC401B1"/>
    <w:multiLevelType w:val="hybridMultilevel"/>
    <w:tmpl w:val="3B3619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567"/>
    <w:multiLevelType w:val="hybridMultilevel"/>
    <w:tmpl w:val="AD3A22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6"/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D"/>
    <w:rsid w:val="0000205D"/>
    <w:rsid w:val="00007880"/>
    <w:rsid w:val="00020E1F"/>
    <w:rsid w:val="00042E24"/>
    <w:rsid w:val="00050868"/>
    <w:rsid w:val="0005116B"/>
    <w:rsid w:val="00061E63"/>
    <w:rsid w:val="00064EA5"/>
    <w:rsid w:val="00081D68"/>
    <w:rsid w:val="000839C7"/>
    <w:rsid w:val="00092EEB"/>
    <w:rsid w:val="000950AE"/>
    <w:rsid w:val="000C1DDF"/>
    <w:rsid w:val="000C257A"/>
    <w:rsid w:val="000C373C"/>
    <w:rsid w:val="000D2051"/>
    <w:rsid w:val="000D6136"/>
    <w:rsid w:val="000D70FD"/>
    <w:rsid w:val="000E0A67"/>
    <w:rsid w:val="000E1096"/>
    <w:rsid w:val="000E1E14"/>
    <w:rsid w:val="000E5AFA"/>
    <w:rsid w:val="000F72F7"/>
    <w:rsid w:val="00102160"/>
    <w:rsid w:val="00102EDE"/>
    <w:rsid w:val="00105993"/>
    <w:rsid w:val="00112B02"/>
    <w:rsid w:val="0011533D"/>
    <w:rsid w:val="00117A3A"/>
    <w:rsid w:val="00120FA8"/>
    <w:rsid w:val="001212EF"/>
    <w:rsid w:val="00135DC5"/>
    <w:rsid w:val="00137A58"/>
    <w:rsid w:val="00143CD7"/>
    <w:rsid w:val="00146147"/>
    <w:rsid w:val="0015167F"/>
    <w:rsid w:val="001526E6"/>
    <w:rsid w:val="00153E73"/>
    <w:rsid w:val="00154F9D"/>
    <w:rsid w:val="00180651"/>
    <w:rsid w:val="001854D6"/>
    <w:rsid w:val="0018609F"/>
    <w:rsid w:val="001947BA"/>
    <w:rsid w:val="00194D60"/>
    <w:rsid w:val="001A0AB9"/>
    <w:rsid w:val="001A3B23"/>
    <w:rsid w:val="001A738A"/>
    <w:rsid w:val="001C0C13"/>
    <w:rsid w:val="001D0885"/>
    <w:rsid w:val="001D1C89"/>
    <w:rsid w:val="001D2174"/>
    <w:rsid w:val="00202791"/>
    <w:rsid w:val="00205199"/>
    <w:rsid w:val="0020717B"/>
    <w:rsid w:val="00216FB0"/>
    <w:rsid w:val="0024131E"/>
    <w:rsid w:val="00260EE7"/>
    <w:rsid w:val="002673A8"/>
    <w:rsid w:val="00283081"/>
    <w:rsid w:val="00287B96"/>
    <w:rsid w:val="00294B57"/>
    <w:rsid w:val="0029504D"/>
    <w:rsid w:val="00295730"/>
    <w:rsid w:val="00295F15"/>
    <w:rsid w:val="002A18C0"/>
    <w:rsid w:val="002A50BB"/>
    <w:rsid w:val="002B5070"/>
    <w:rsid w:val="002B7834"/>
    <w:rsid w:val="002C1073"/>
    <w:rsid w:val="002E68CD"/>
    <w:rsid w:val="002F47A5"/>
    <w:rsid w:val="002F78D2"/>
    <w:rsid w:val="00301CDE"/>
    <w:rsid w:val="0030649D"/>
    <w:rsid w:val="00310122"/>
    <w:rsid w:val="00313149"/>
    <w:rsid w:val="00325784"/>
    <w:rsid w:val="00327BD0"/>
    <w:rsid w:val="00332D95"/>
    <w:rsid w:val="00336F3F"/>
    <w:rsid w:val="003539DA"/>
    <w:rsid w:val="00367B47"/>
    <w:rsid w:val="00373B2F"/>
    <w:rsid w:val="003A5FF0"/>
    <w:rsid w:val="003B429D"/>
    <w:rsid w:val="003B5194"/>
    <w:rsid w:val="003C37F8"/>
    <w:rsid w:val="003C6BEF"/>
    <w:rsid w:val="003D1359"/>
    <w:rsid w:val="003D36BA"/>
    <w:rsid w:val="003E27AF"/>
    <w:rsid w:val="003E2CCC"/>
    <w:rsid w:val="003F0DEF"/>
    <w:rsid w:val="003F2C72"/>
    <w:rsid w:val="003F4D2E"/>
    <w:rsid w:val="0040216A"/>
    <w:rsid w:val="00411967"/>
    <w:rsid w:val="0041355E"/>
    <w:rsid w:val="004138DD"/>
    <w:rsid w:val="00421F60"/>
    <w:rsid w:val="004225FE"/>
    <w:rsid w:val="00423592"/>
    <w:rsid w:val="00431C06"/>
    <w:rsid w:val="00434527"/>
    <w:rsid w:val="0043741B"/>
    <w:rsid w:val="00437464"/>
    <w:rsid w:val="00443CA4"/>
    <w:rsid w:val="00445840"/>
    <w:rsid w:val="00456DCE"/>
    <w:rsid w:val="00465153"/>
    <w:rsid w:val="0046568F"/>
    <w:rsid w:val="0046574A"/>
    <w:rsid w:val="0046662F"/>
    <w:rsid w:val="00470A32"/>
    <w:rsid w:val="00470F93"/>
    <w:rsid w:val="0047206F"/>
    <w:rsid w:val="00474601"/>
    <w:rsid w:val="00481ED0"/>
    <w:rsid w:val="0048280E"/>
    <w:rsid w:val="00482F4E"/>
    <w:rsid w:val="00492765"/>
    <w:rsid w:val="004A33E9"/>
    <w:rsid w:val="004A5DF0"/>
    <w:rsid w:val="004B7B64"/>
    <w:rsid w:val="004C0510"/>
    <w:rsid w:val="004E181D"/>
    <w:rsid w:val="004E7BE4"/>
    <w:rsid w:val="004F5EC9"/>
    <w:rsid w:val="00501CC7"/>
    <w:rsid w:val="0050574B"/>
    <w:rsid w:val="00505C6E"/>
    <w:rsid w:val="0051518E"/>
    <w:rsid w:val="00526877"/>
    <w:rsid w:val="00527904"/>
    <w:rsid w:val="0053442A"/>
    <w:rsid w:val="00536752"/>
    <w:rsid w:val="00537945"/>
    <w:rsid w:val="005519A5"/>
    <w:rsid w:val="00552BA8"/>
    <w:rsid w:val="0056336A"/>
    <w:rsid w:val="0056654D"/>
    <w:rsid w:val="005713AD"/>
    <w:rsid w:val="005739E5"/>
    <w:rsid w:val="005764F0"/>
    <w:rsid w:val="00590FBF"/>
    <w:rsid w:val="00592A6D"/>
    <w:rsid w:val="00594144"/>
    <w:rsid w:val="005A1927"/>
    <w:rsid w:val="005A253A"/>
    <w:rsid w:val="005B197E"/>
    <w:rsid w:val="005B45C2"/>
    <w:rsid w:val="005B63B8"/>
    <w:rsid w:val="005B76E9"/>
    <w:rsid w:val="005C3588"/>
    <w:rsid w:val="005D2D52"/>
    <w:rsid w:val="005E031E"/>
    <w:rsid w:val="005E3555"/>
    <w:rsid w:val="005F21BA"/>
    <w:rsid w:val="005F2D6D"/>
    <w:rsid w:val="005F3712"/>
    <w:rsid w:val="0060619E"/>
    <w:rsid w:val="006157F1"/>
    <w:rsid w:val="00617C57"/>
    <w:rsid w:val="00624504"/>
    <w:rsid w:val="00630868"/>
    <w:rsid w:val="00630A27"/>
    <w:rsid w:val="00631804"/>
    <w:rsid w:val="006330A9"/>
    <w:rsid w:val="00635494"/>
    <w:rsid w:val="006355EC"/>
    <w:rsid w:val="00640877"/>
    <w:rsid w:val="0064234E"/>
    <w:rsid w:val="0064673E"/>
    <w:rsid w:val="00647CD1"/>
    <w:rsid w:val="00656C95"/>
    <w:rsid w:val="00656CA9"/>
    <w:rsid w:val="00663157"/>
    <w:rsid w:val="0067031F"/>
    <w:rsid w:val="00686074"/>
    <w:rsid w:val="00691BCC"/>
    <w:rsid w:val="00694F5A"/>
    <w:rsid w:val="006A1EB2"/>
    <w:rsid w:val="006A4CB8"/>
    <w:rsid w:val="006A648F"/>
    <w:rsid w:val="006B0A7E"/>
    <w:rsid w:val="006C0D0C"/>
    <w:rsid w:val="006C1408"/>
    <w:rsid w:val="006C7289"/>
    <w:rsid w:val="006D0345"/>
    <w:rsid w:val="006D62AC"/>
    <w:rsid w:val="006E00C1"/>
    <w:rsid w:val="006E2994"/>
    <w:rsid w:val="00706534"/>
    <w:rsid w:val="007115D2"/>
    <w:rsid w:val="00712A29"/>
    <w:rsid w:val="00714AF8"/>
    <w:rsid w:val="00727811"/>
    <w:rsid w:val="00730719"/>
    <w:rsid w:val="00731B72"/>
    <w:rsid w:val="007401B4"/>
    <w:rsid w:val="007416FE"/>
    <w:rsid w:val="00742224"/>
    <w:rsid w:val="00742BBB"/>
    <w:rsid w:val="0075023F"/>
    <w:rsid w:val="007535DB"/>
    <w:rsid w:val="0076773F"/>
    <w:rsid w:val="00774059"/>
    <w:rsid w:val="00794AE5"/>
    <w:rsid w:val="00795C79"/>
    <w:rsid w:val="007960DB"/>
    <w:rsid w:val="007A4B2B"/>
    <w:rsid w:val="007B13DD"/>
    <w:rsid w:val="007B6EE8"/>
    <w:rsid w:val="007C053E"/>
    <w:rsid w:val="007D6A54"/>
    <w:rsid w:val="007D6CFA"/>
    <w:rsid w:val="007E796C"/>
    <w:rsid w:val="007F1EF6"/>
    <w:rsid w:val="007F4795"/>
    <w:rsid w:val="007F4B4E"/>
    <w:rsid w:val="007F71D2"/>
    <w:rsid w:val="007F76F8"/>
    <w:rsid w:val="0080020F"/>
    <w:rsid w:val="00807F7F"/>
    <w:rsid w:val="00832721"/>
    <w:rsid w:val="008343F8"/>
    <w:rsid w:val="00835B73"/>
    <w:rsid w:val="00846E95"/>
    <w:rsid w:val="00847BD6"/>
    <w:rsid w:val="0085386C"/>
    <w:rsid w:val="00861321"/>
    <w:rsid w:val="00861338"/>
    <w:rsid w:val="008766AC"/>
    <w:rsid w:val="00881706"/>
    <w:rsid w:val="008928DC"/>
    <w:rsid w:val="0089303D"/>
    <w:rsid w:val="008A0997"/>
    <w:rsid w:val="008A75BE"/>
    <w:rsid w:val="008B1C5D"/>
    <w:rsid w:val="008B7B04"/>
    <w:rsid w:val="008D12A0"/>
    <w:rsid w:val="008D7482"/>
    <w:rsid w:val="008E1009"/>
    <w:rsid w:val="008E4ACD"/>
    <w:rsid w:val="008E73F1"/>
    <w:rsid w:val="008F0CF2"/>
    <w:rsid w:val="008F1C00"/>
    <w:rsid w:val="00902AB4"/>
    <w:rsid w:val="00906C67"/>
    <w:rsid w:val="00910421"/>
    <w:rsid w:val="00910A8E"/>
    <w:rsid w:val="0091131A"/>
    <w:rsid w:val="009161F2"/>
    <w:rsid w:val="00917835"/>
    <w:rsid w:val="00921751"/>
    <w:rsid w:val="00923DD7"/>
    <w:rsid w:val="00925DEA"/>
    <w:rsid w:val="009458C6"/>
    <w:rsid w:val="00953F92"/>
    <w:rsid w:val="00956FEE"/>
    <w:rsid w:val="009658D4"/>
    <w:rsid w:val="009817F3"/>
    <w:rsid w:val="00987E64"/>
    <w:rsid w:val="00994ECE"/>
    <w:rsid w:val="009A40D9"/>
    <w:rsid w:val="009A6062"/>
    <w:rsid w:val="009B42B6"/>
    <w:rsid w:val="009C0B6C"/>
    <w:rsid w:val="009C6578"/>
    <w:rsid w:val="009D1BDD"/>
    <w:rsid w:val="009D5BFA"/>
    <w:rsid w:val="009D7C10"/>
    <w:rsid w:val="00A03C52"/>
    <w:rsid w:val="00A069CE"/>
    <w:rsid w:val="00A21397"/>
    <w:rsid w:val="00A25FE5"/>
    <w:rsid w:val="00A330D6"/>
    <w:rsid w:val="00A371C5"/>
    <w:rsid w:val="00A41BA5"/>
    <w:rsid w:val="00A509E8"/>
    <w:rsid w:val="00A727F2"/>
    <w:rsid w:val="00A74406"/>
    <w:rsid w:val="00A76CDC"/>
    <w:rsid w:val="00A80948"/>
    <w:rsid w:val="00A8176F"/>
    <w:rsid w:val="00A933B6"/>
    <w:rsid w:val="00A93F01"/>
    <w:rsid w:val="00AB4F12"/>
    <w:rsid w:val="00AB5349"/>
    <w:rsid w:val="00AB68E3"/>
    <w:rsid w:val="00AC0063"/>
    <w:rsid w:val="00AC09A4"/>
    <w:rsid w:val="00AE66FB"/>
    <w:rsid w:val="00AF1EFD"/>
    <w:rsid w:val="00AF3EDB"/>
    <w:rsid w:val="00AF6E52"/>
    <w:rsid w:val="00AF6F0C"/>
    <w:rsid w:val="00B05022"/>
    <w:rsid w:val="00B06B2B"/>
    <w:rsid w:val="00B14091"/>
    <w:rsid w:val="00B24F72"/>
    <w:rsid w:val="00B2678C"/>
    <w:rsid w:val="00B351BF"/>
    <w:rsid w:val="00B42B47"/>
    <w:rsid w:val="00B56231"/>
    <w:rsid w:val="00B66ACB"/>
    <w:rsid w:val="00B73BBA"/>
    <w:rsid w:val="00B77D1C"/>
    <w:rsid w:val="00B77DDB"/>
    <w:rsid w:val="00B82B92"/>
    <w:rsid w:val="00B839F6"/>
    <w:rsid w:val="00BA090B"/>
    <w:rsid w:val="00BA15A4"/>
    <w:rsid w:val="00BB306D"/>
    <w:rsid w:val="00BB4A3A"/>
    <w:rsid w:val="00BC1DCF"/>
    <w:rsid w:val="00BD0399"/>
    <w:rsid w:val="00BD55D0"/>
    <w:rsid w:val="00BF72CD"/>
    <w:rsid w:val="00C01631"/>
    <w:rsid w:val="00C068ED"/>
    <w:rsid w:val="00C07DFA"/>
    <w:rsid w:val="00C11302"/>
    <w:rsid w:val="00C128BA"/>
    <w:rsid w:val="00C14A98"/>
    <w:rsid w:val="00C15DDA"/>
    <w:rsid w:val="00C274CF"/>
    <w:rsid w:val="00C30146"/>
    <w:rsid w:val="00C36A6E"/>
    <w:rsid w:val="00C371D7"/>
    <w:rsid w:val="00C43B3C"/>
    <w:rsid w:val="00C4509D"/>
    <w:rsid w:val="00C47F6E"/>
    <w:rsid w:val="00C67C98"/>
    <w:rsid w:val="00C7661E"/>
    <w:rsid w:val="00C80021"/>
    <w:rsid w:val="00C9184B"/>
    <w:rsid w:val="00C95F0A"/>
    <w:rsid w:val="00CA0F15"/>
    <w:rsid w:val="00CA3745"/>
    <w:rsid w:val="00CA3D78"/>
    <w:rsid w:val="00CA4D53"/>
    <w:rsid w:val="00CA4E62"/>
    <w:rsid w:val="00CA5DD2"/>
    <w:rsid w:val="00CB59E4"/>
    <w:rsid w:val="00CC5997"/>
    <w:rsid w:val="00CD482F"/>
    <w:rsid w:val="00CD6371"/>
    <w:rsid w:val="00CE7AC7"/>
    <w:rsid w:val="00CF0054"/>
    <w:rsid w:val="00CF36C0"/>
    <w:rsid w:val="00CF725C"/>
    <w:rsid w:val="00D25A96"/>
    <w:rsid w:val="00D2702F"/>
    <w:rsid w:val="00D30655"/>
    <w:rsid w:val="00D43012"/>
    <w:rsid w:val="00D505BA"/>
    <w:rsid w:val="00D52344"/>
    <w:rsid w:val="00D530A6"/>
    <w:rsid w:val="00D66DFA"/>
    <w:rsid w:val="00D72902"/>
    <w:rsid w:val="00D74998"/>
    <w:rsid w:val="00D751D1"/>
    <w:rsid w:val="00D75CAE"/>
    <w:rsid w:val="00D84943"/>
    <w:rsid w:val="00DA262E"/>
    <w:rsid w:val="00DA2F2D"/>
    <w:rsid w:val="00DB49BC"/>
    <w:rsid w:val="00DB6623"/>
    <w:rsid w:val="00DB66D9"/>
    <w:rsid w:val="00DB767B"/>
    <w:rsid w:val="00DC23BD"/>
    <w:rsid w:val="00DD095D"/>
    <w:rsid w:val="00DD0CF5"/>
    <w:rsid w:val="00DD3F61"/>
    <w:rsid w:val="00DF3C1F"/>
    <w:rsid w:val="00E01B49"/>
    <w:rsid w:val="00E03D7D"/>
    <w:rsid w:val="00E227C6"/>
    <w:rsid w:val="00E22B85"/>
    <w:rsid w:val="00E36790"/>
    <w:rsid w:val="00E47022"/>
    <w:rsid w:val="00E51D07"/>
    <w:rsid w:val="00E5211C"/>
    <w:rsid w:val="00E5496D"/>
    <w:rsid w:val="00E65D9C"/>
    <w:rsid w:val="00E809C6"/>
    <w:rsid w:val="00E82311"/>
    <w:rsid w:val="00E85549"/>
    <w:rsid w:val="00E86744"/>
    <w:rsid w:val="00E92C6B"/>
    <w:rsid w:val="00E966D9"/>
    <w:rsid w:val="00EB48B3"/>
    <w:rsid w:val="00EB5DD9"/>
    <w:rsid w:val="00EB687D"/>
    <w:rsid w:val="00EC0E93"/>
    <w:rsid w:val="00EC6F2E"/>
    <w:rsid w:val="00F04393"/>
    <w:rsid w:val="00F2403B"/>
    <w:rsid w:val="00F32E21"/>
    <w:rsid w:val="00F4436A"/>
    <w:rsid w:val="00F5072F"/>
    <w:rsid w:val="00F5190F"/>
    <w:rsid w:val="00F547C3"/>
    <w:rsid w:val="00F608F8"/>
    <w:rsid w:val="00F73142"/>
    <w:rsid w:val="00F87562"/>
    <w:rsid w:val="00F87C1A"/>
    <w:rsid w:val="00F966A0"/>
    <w:rsid w:val="00FA2DCD"/>
    <w:rsid w:val="00FB571D"/>
    <w:rsid w:val="00FC1F5A"/>
    <w:rsid w:val="00FC69E1"/>
    <w:rsid w:val="00FE052A"/>
    <w:rsid w:val="00FF43ED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D8F4"/>
  <w15:chartTrackingRefBased/>
  <w15:docId w15:val="{23D24A49-5D92-4DF5-99A4-8FCE225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2DC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42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34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C10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482F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7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E00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7B04"/>
  </w:style>
  <w:style w:type="paragraph" w:styleId="Podnoje">
    <w:name w:val="footer"/>
    <w:basedOn w:val="Normal"/>
    <w:link w:val="PodnojeChar"/>
    <w:uiPriority w:val="99"/>
    <w:unhideWhenUsed/>
    <w:rsid w:val="008B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7B04"/>
  </w:style>
  <w:style w:type="character" w:customStyle="1" w:styleId="Naslov1Char">
    <w:name w:val="Naslov 1 Char"/>
    <w:basedOn w:val="Zadanifontodlomka"/>
    <w:link w:val="Naslov1"/>
    <w:uiPriority w:val="9"/>
    <w:rsid w:val="0026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260EE7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0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4_10_124_2374.html" TargetMode="External"/><Relationship Id="rId13" Type="http://schemas.openxmlformats.org/officeDocument/2006/relationships/hyperlink" Target="https://narodne-novine.nn.hr/clanci/sluzbeni/full/2020_10_108_21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narodne-novine.nn.hr/clanci/sluzbeni/full/2019_12_126_253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full/2018_01_3_11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full/2016_09_87_18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5_10_115_219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50</cp:revision>
  <cp:lastPrinted>2024-02-15T07:50:00Z</cp:lastPrinted>
  <dcterms:created xsi:type="dcterms:W3CDTF">2025-02-24T06:49:00Z</dcterms:created>
  <dcterms:modified xsi:type="dcterms:W3CDTF">2025-02-24T13:17:00Z</dcterms:modified>
</cp:coreProperties>
</file>